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4C39" w14:textId="77777777" w:rsidR="00D54365" w:rsidRPr="00966851" w:rsidRDefault="000F1430" w:rsidP="00C17158">
      <w:pPr>
        <w:spacing w:line="276" w:lineRule="auto"/>
        <w:jc w:val="center"/>
        <w:rPr>
          <w:rFonts w:ascii="Times New Roman" w:eastAsia="Batang" w:hAnsi="Times New Roman"/>
          <w:b/>
          <w:bCs/>
          <w:szCs w:val="22"/>
          <w:u w:val="single"/>
          <w:lang w:eastAsia="ko-KR"/>
        </w:rPr>
      </w:pPr>
      <w:r>
        <w:rPr>
          <w:rFonts w:ascii="Times New Roman" w:eastAsia="Batang" w:hAnsi="Times New Roman"/>
          <w:b/>
          <w:bCs/>
          <w:szCs w:val="22"/>
          <w:u w:val="single"/>
          <w:lang w:eastAsia="ko-KR"/>
        </w:rPr>
        <w:t>REGIMEN DE MAQUILA</w:t>
      </w:r>
    </w:p>
    <w:p w14:paraId="424DD6A9" w14:textId="658CA29A" w:rsidR="00E00FD7" w:rsidRPr="00966851" w:rsidRDefault="00103C85" w:rsidP="00C17158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es-ES"/>
        </w:rPr>
      </w:pPr>
      <w:r>
        <w:rPr>
          <w:rFonts w:ascii="Times New Roman" w:hAnsi="Times New Roman"/>
          <w:b/>
          <w:szCs w:val="22"/>
          <w:u w:val="single"/>
          <w:lang w:val="es-ES"/>
        </w:rPr>
        <w:t>INFORME DE EXPORTACION</w:t>
      </w:r>
      <w:r w:rsidR="00750D35" w:rsidRPr="00966851">
        <w:rPr>
          <w:rFonts w:ascii="Times New Roman" w:hAnsi="Times New Roman"/>
          <w:b/>
          <w:szCs w:val="22"/>
          <w:u w:val="single"/>
          <w:lang w:val="es-ES"/>
        </w:rPr>
        <w:t xml:space="preserve"> – </w:t>
      </w:r>
      <w:r w:rsidR="005E3C59">
        <w:rPr>
          <w:rFonts w:ascii="Times New Roman" w:hAnsi="Times New Roman"/>
          <w:b/>
          <w:szCs w:val="22"/>
          <w:u w:val="single"/>
          <w:lang w:val="es-ES"/>
        </w:rPr>
        <w:t>FEBRERO 20</w:t>
      </w:r>
      <w:r w:rsidR="00802BC8">
        <w:rPr>
          <w:rFonts w:ascii="Times New Roman" w:hAnsi="Times New Roman"/>
          <w:b/>
          <w:szCs w:val="22"/>
          <w:u w:val="single"/>
          <w:lang w:val="es-ES"/>
        </w:rPr>
        <w:t>20</w:t>
      </w:r>
    </w:p>
    <w:p w14:paraId="3F30F4D3" w14:textId="77777777" w:rsidR="00542F0C" w:rsidRPr="00966851" w:rsidRDefault="00542F0C" w:rsidP="00966851">
      <w:pPr>
        <w:spacing w:line="276" w:lineRule="auto"/>
        <w:rPr>
          <w:rFonts w:ascii="Times New Roman" w:hAnsi="Times New Roman"/>
          <w:b/>
          <w:szCs w:val="22"/>
          <w:u w:val="single"/>
          <w:lang w:val="es-ES"/>
        </w:rPr>
      </w:pPr>
    </w:p>
    <w:p w14:paraId="542D1DEA" w14:textId="0A8A8FCB" w:rsidR="00141B53" w:rsidRPr="00966851" w:rsidRDefault="00E00FD7" w:rsidP="00C17158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szCs w:val="22"/>
          <w:lang w:val="es-ES"/>
        </w:rPr>
        <w:t>L</w:t>
      </w:r>
      <w:r w:rsidRPr="00966851">
        <w:rPr>
          <w:rFonts w:ascii="Times New Roman" w:hAnsi="Times New Roman"/>
          <w:szCs w:val="22"/>
        </w:rPr>
        <w:t>as exportaciones registradas durante el</w:t>
      </w:r>
      <w:r w:rsidR="00C8651E" w:rsidRPr="00966851">
        <w:rPr>
          <w:rFonts w:ascii="Times New Roman" w:hAnsi="Times New Roman"/>
          <w:szCs w:val="22"/>
        </w:rPr>
        <w:t xml:space="preserve"> mes de </w:t>
      </w:r>
      <w:r w:rsidR="00E272CB">
        <w:rPr>
          <w:rFonts w:ascii="Times New Roman" w:hAnsi="Times New Roman"/>
          <w:szCs w:val="22"/>
        </w:rPr>
        <w:t>febrero</w:t>
      </w:r>
      <w:r w:rsidR="000F1430">
        <w:rPr>
          <w:rFonts w:ascii="Times New Roman" w:hAnsi="Times New Roman"/>
          <w:szCs w:val="22"/>
        </w:rPr>
        <w:t xml:space="preserve"> </w:t>
      </w:r>
      <w:r w:rsidRPr="00966851">
        <w:rPr>
          <w:rFonts w:ascii="Times New Roman" w:hAnsi="Times New Roman"/>
          <w:szCs w:val="22"/>
        </w:rPr>
        <w:t>del año 20</w:t>
      </w:r>
      <w:r w:rsidR="00802BC8">
        <w:rPr>
          <w:rFonts w:ascii="Times New Roman" w:hAnsi="Times New Roman"/>
          <w:szCs w:val="22"/>
        </w:rPr>
        <w:t>20</w:t>
      </w:r>
      <w:r w:rsidRPr="00966851">
        <w:rPr>
          <w:rFonts w:ascii="Times New Roman" w:hAnsi="Times New Roman"/>
          <w:szCs w:val="22"/>
        </w:rPr>
        <w:t xml:space="preserve">, ascienden a </w:t>
      </w:r>
      <w:r w:rsidR="00E17CDA" w:rsidRPr="00966851">
        <w:rPr>
          <w:rFonts w:ascii="Times New Roman" w:hAnsi="Times New Roman"/>
          <w:b/>
          <w:szCs w:val="22"/>
        </w:rPr>
        <w:t xml:space="preserve">USD </w:t>
      </w:r>
      <w:r w:rsidR="00802BC8" w:rsidRPr="00802BC8">
        <w:rPr>
          <w:rFonts w:ascii="Times New Roman" w:hAnsi="Times New Roman"/>
          <w:b/>
          <w:szCs w:val="22"/>
        </w:rPr>
        <w:t>59.338.156</w:t>
      </w:r>
      <w:r w:rsidR="00802BC8">
        <w:rPr>
          <w:rFonts w:ascii="Times New Roman" w:hAnsi="Times New Roman"/>
          <w:b/>
          <w:szCs w:val="22"/>
        </w:rPr>
        <w:t xml:space="preserve"> </w:t>
      </w:r>
      <w:r w:rsidR="00306BFA" w:rsidRPr="00966851">
        <w:rPr>
          <w:rFonts w:ascii="Times New Roman" w:hAnsi="Times New Roman"/>
          <w:szCs w:val="22"/>
        </w:rPr>
        <w:t xml:space="preserve">lo que representa un </w:t>
      </w:r>
      <w:r w:rsidR="000F1430">
        <w:rPr>
          <w:rFonts w:ascii="Times New Roman" w:hAnsi="Times New Roman"/>
          <w:szCs w:val="22"/>
        </w:rPr>
        <w:t>aumento</w:t>
      </w:r>
      <w:r w:rsidR="00306BFA" w:rsidRPr="00966851">
        <w:rPr>
          <w:rFonts w:ascii="Times New Roman" w:hAnsi="Times New Roman"/>
          <w:szCs w:val="22"/>
        </w:rPr>
        <w:t xml:space="preserve"> de</w:t>
      </w:r>
      <w:r w:rsidR="001728FC" w:rsidRPr="00966851">
        <w:rPr>
          <w:rFonts w:ascii="Times New Roman" w:hAnsi="Times New Roman"/>
          <w:szCs w:val="22"/>
        </w:rPr>
        <w:t xml:space="preserve">l </w:t>
      </w:r>
      <w:r w:rsidR="00802BC8">
        <w:rPr>
          <w:rFonts w:ascii="Times New Roman" w:hAnsi="Times New Roman"/>
          <w:b/>
          <w:szCs w:val="22"/>
        </w:rPr>
        <w:t>9</w:t>
      </w:r>
      <w:r w:rsidR="00306BFA" w:rsidRPr="000F1430">
        <w:rPr>
          <w:rFonts w:ascii="Times New Roman" w:hAnsi="Times New Roman"/>
          <w:b/>
          <w:szCs w:val="22"/>
        </w:rPr>
        <w:t>%</w:t>
      </w:r>
      <w:r w:rsidR="00306BFA" w:rsidRPr="00966851">
        <w:rPr>
          <w:rFonts w:ascii="Times New Roman" w:hAnsi="Times New Roman"/>
          <w:szCs w:val="22"/>
        </w:rPr>
        <w:t xml:space="preserve"> en relación al mismo periodo del año anterior.</w:t>
      </w:r>
    </w:p>
    <w:p w14:paraId="61E17CFD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2284CDBA" w14:textId="232F8186" w:rsidR="00CB6577" w:rsidRDefault="00802BC8" w:rsidP="00CB6577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noProof/>
          <w:lang w:val="es-ES" w:eastAsia="es-ES"/>
        </w:rPr>
        <w:drawing>
          <wp:inline distT="0" distB="0" distL="0" distR="0" wp14:anchorId="4D169F8F" wp14:editId="13E71579">
            <wp:extent cx="3907790" cy="355409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2CB" w:rsidRPr="00E272CB">
        <w:rPr>
          <w:noProof/>
          <w:lang w:val="es-ES" w:eastAsia="es-ES"/>
        </w:rPr>
        <w:t xml:space="preserve"> </w:t>
      </w:r>
    </w:p>
    <w:p w14:paraId="5BD52DEA" w14:textId="77777777" w:rsidR="00CB6577" w:rsidRPr="00966851" w:rsidRDefault="00961494" w:rsidP="00CB6577">
      <w:pPr>
        <w:spacing w:line="276" w:lineRule="auto"/>
        <w:ind w:left="709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Fuente: Secretarí</w:t>
      </w:r>
      <w:r w:rsidR="00CB6577" w:rsidRPr="00966851">
        <w:rPr>
          <w:rFonts w:ascii="Times New Roman" w:hAnsi="Times New Roman"/>
          <w:b/>
          <w:szCs w:val="22"/>
        </w:rPr>
        <w:t>a Ejecutiva del CNIME</w:t>
      </w:r>
    </w:p>
    <w:p w14:paraId="1C4F3F94" w14:textId="77777777" w:rsidR="00CB6577" w:rsidRDefault="00CB6577" w:rsidP="00966851">
      <w:pPr>
        <w:spacing w:line="276" w:lineRule="auto"/>
        <w:rPr>
          <w:rFonts w:ascii="Times New Roman" w:hAnsi="Times New Roman"/>
          <w:szCs w:val="22"/>
        </w:rPr>
      </w:pPr>
    </w:p>
    <w:p w14:paraId="2746D4E1" w14:textId="0D800B3F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Los principales productos expo</w:t>
      </w:r>
      <w:r w:rsidR="009014EB">
        <w:rPr>
          <w:rFonts w:ascii="Times New Roman" w:hAnsi="Times New Roman"/>
          <w:szCs w:val="22"/>
        </w:rPr>
        <w:t xml:space="preserve">rtados durante el mes de </w:t>
      </w:r>
      <w:r w:rsidR="00E272CB">
        <w:rPr>
          <w:rFonts w:ascii="Times New Roman" w:hAnsi="Times New Roman"/>
          <w:szCs w:val="22"/>
        </w:rPr>
        <w:t>febrero</w:t>
      </w:r>
      <w:r>
        <w:rPr>
          <w:rFonts w:ascii="Times New Roman" w:hAnsi="Times New Roman"/>
          <w:szCs w:val="22"/>
        </w:rPr>
        <w:t>, corresponden a los del rubro “</w:t>
      </w:r>
      <w:r w:rsidR="00E272CB">
        <w:rPr>
          <w:rFonts w:ascii="Times New Roman" w:hAnsi="Times New Roman"/>
          <w:szCs w:val="22"/>
        </w:rPr>
        <w:t>Autopartes</w:t>
      </w:r>
      <w:r>
        <w:rPr>
          <w:rFonts w:ascii="Times New Roman" w:hAnsi="Times New Roman"/>
          <w:szCs w:val="22"/>
        </w:rPr>
        <w:t xml:space="preserve">”, que representa el </w:t>
      </w:r>
      <w:r w:rsidR="00C04E4C">
        <w:rPr>
          <w:rFonts w:ascii="Times New Roman" w:hAnsi="Times New Roman"/>
          <w:szCs w:val="22"/>
        </w:rPr>
        <w:t>4</w:t>
      </w:r>
      <w:r w:rsidR="00802BC8">
        <w:rPr>
          <w:rFonts w:ascii="Times New Roman" w:hAnsi="Times New Roman"/>
          <w:szCs w:val="22"/>
        </w:rPr>
        <w:t>4,4</w:t>
      </w:r>
      <w:r>
        <w:rPr>
          <w:rFonts w:ascii="Times New Roman" w:hAnsi="Times New Roman"/>
          <w:szCs w:val="22"/>
        </w:rPr>
        <w:t>% del total exportado en el mes. El segundo rubro de mayor peso en las exportaciones totales corresponde al de “</w:t>
      </w:r>
      <w:r w:rsidR="00C42B72">
        <w:rPr>
          <w:rFonts w:ascii="Times New Roman" w:hAnsi="Times New Roman"/>
          <w:szCs w:val="22"/>
        </w:rPr>
        <w:t>Confecciones y textiles</w:t>
      </w:r>
      <w:r>
        <w:rPr>
          <w:rFonts w:ascii="Times New Roman" w:hAnsi="Times New Roman"/>
          <w:szCs w:val="22"/>
        </w:rPr>
        <w:t>”</w:t>
      </w:r>
      <w:r w:rsidR="009014EB">
        <w:rPr>
          <w:rFonts w:ascii="Times New Roman" w:hAnsi="Times New Roman"/>
          <w:szCs w:val="22"/>
        </w:rPr>
        <w:t xml:space="preserve"> con </w:t>
      </w:r>
      <w:r w:rsidR="00C04E4C">
        <w:rPr>
          <w:rFonts w:ascii="Times New Roman" w:hAnsi="Times New Roman"/>
          <w:szCs w:val="22"/>
        </w:rPr>
        <w:t>2</w:t>
      </w:r>
      <w:r w:rsidR="00802BC8">
        <w:rPr>
          <w:rFonts w:ascii="Times New Roman" w:hAnsi="Times New Roman"/>
          <w:szCs w:val="22"/>
        </w:rPr>
        <w:t>3,9</w:t>
      </w:r>
      <w:r>
        <w:rPr>
          <w:rFonts w:ascii="Times New Roman" w:hAnsi="Times New Roman"/>
          <w:szCs w:val="22"/>
        </w:rPr>
        <w:t>%.</w:t>
      </w:r>
    </w:p>
    <w:p w14:paraId="6361737C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2C983B48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Otro rubro de importancia en el total de las exportaciones durante el mes, corresponde al de </w:t>
      </w:r>
      <w:r w:rsidR="004F4D39">
        <w:rPr>
          <w:rFonts w:ascii="Times New Roman" w:hAnsi="Times New Roman"/>
          <w:szCs w:val="22"/>
        </w:rPr>
        <w:t>“Plásticos y sus manufacturas”</w:t>
      </w:r>
      <w:r>
        <w:rPr>
          <w:rFonts w:ascii="Times New Roman" w:hAnsi="Times New Roman"/>
          <w:szCs w:val="22"/>
        </w:rPr>
        <w:t>, así como el de</w:t>
      </w:r>
      <w:r w:rsidR="004F4D39">
        <w:rPr>
          <w:rFonts w:ascii="Times New Roman" w:hAnsi="Times New Roman"/>
          <w:szCs w:val="22"/>
        </w:rPr>
        <w:t xml:space="preserve"> “</w:t>
      </w:r>
      <w:r w:rsidR="00C04E4C">
        <w:rPr>
          <w:rFonts w:ascii="Times New Roman" w:hAnsi="Times New Roman"/>
          <w:szCs w:val="22"/>
        </w:rPr>
        <w:t>Productos farmacéuticos</w:t>
      </w:r>
      <w:r w:rsidR="004F4D39">
        <w:rPr>
          <w:rFonts w:ascii="Times New Roman" w:hAnsi="Times New Roman"/>
          <w:szCs w:val="22"/>
        </w:rPr>
        <w:t>”</w:t>
      </w:r>
      <w:r w:rsidR="00F840E7">
        <w:rPr>
          <w:rFonts w:ascii="Times New Roman" w:hAnsi="Times New Roman"/>
          <w:szCs w:val="22"/>
        </w:rPr>
        <w:t>.</w:t>
      </w:r>
    </w:p>
    <w:p w14:paraId="67270DD3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604A3B3B" w14:textId="76468968" w:rsidR="0000322A" w:rsidRDefault="0000322A" w:rsidP="0000322A">
      <w:pPr>
        <w:spacing w:line="276" w:lineRule="auto"/>
        <w:rPr>
          <w:rFonts w:ascii="Times New Roman" w:eastAsia="Batang" w:hAnsi="Times New Roman"/>
          <w:szCs w:val="22"/>
          <w:lang w:val="es-ES" w:eastAsia="ko-KR"/>
        </w:rPr>
      </w:pP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El </w:t>
      </w:r>
      <w:r w:rsidR="004F4D39">
        <w:rPr>
          <w:rFonts w:ascii="Times New Roman" w:eastAsia="Batang" w:hAnsi="Times New Roman"/>
          <w:szCs w:val="22"/>
          <w:lang w:val="es-ES" w:eastAsia="ko-KR"/>
        </w:rPr>
        <w:t>9</w:t>
      </w:r>
      <w:r w:rsidR="00802BC8">
        <w:rPr>
          <w:rFonts w:ascii="Times New Roman" w:eastAsia="Batang" w:hAnsi="Times New Roman"/>
          <w:szCs w:val="22"/>
          <w:lang w:val="es-ES" w:eastAsia="ko-KR"/>
        </w:rPr>
        <w:t>0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>%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de las exportaciones por maquila, durante el mes de </w:t>
      </w:r>
      <w:r w:rsidR="00E272CB">
        <w:rPr>
          <w:rFonts w:ascii="Times New Roman" w:eastAsia="Batang" w:hAnsi="Times New Roman"/>
          <w:szCs w:val="22"/>
          <w:lang w:val="es-ES" w:eastAsia="ko-KR"/>
        </w:rPr>
        <w:t>febrero</w:t>
      </w:r>
      <w:r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Pr="00966851">
        <w:rPr>
          <w:rFonts w:ascii="Times New Roman" w:eastAsia="Batang" w:hAnsi="Times New Roman"/>
          <w:szCs w:val="22"/>
          <w:lang w:val="es-ES" w:eastAsia="ko-KR"/>
        </w:rPr>
        <w:t>fueron destinadas al MERCOSUR, en su mayor propo</w:t>
      </w:r>
      <w:r w:rsidR="009014EB">
        <w:rPr>
          <w:rFonts w:ascii="Times New Roman" w:eastAsia="Batang" w:hAnsi="Times New Roman"/>
          <w:szCs w:val="22"/>
          <w:lang w:val="es-ES" w:eastAsia="ko-KR"/>
        </w:rPr>
        <w:t>rción al Brasil y la Argentina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. El </w:t>
      </w:r>
      <w:r w:rsidR="00802BC8">
        <w:rPr>
          <w:rFonts w:ascii="Times New Roman" w:eastAsia="Batang" w:hAnsi="Times New Roman"/>
          <w:szCs w:val="22"/>
          <w:lang w:val="es-ES" w:eastAsia="ko-KR"/>
        </w:rPr>
        <w:t>10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 xml:space="preserve">% 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de las exportaciones restantes se han </w:t>
      </w:r>
      <w:r w:rsidR="002129AA" w:rsidRPr="00966851">
        <w:rPr>
          <w:rFonts w:ascii="Times New Roman" w:eastAsia="Batang" w:hAnsi="Times New Roman"/>
          <w:szCs w:val="22"/>
          <w:lang w:val="es-ES" w:eastAsia="ko-KR"/>
        </w:rPr>
        <w:t>dirigido al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Resto del Mundo principalmente a </w:t>
      </w:r>
      <w:r w:rsidR="009014EB">
        <w:rPr>
          <w:rFonts w:ascii="Times New Roman" w:eastAsia="Batang" w:hAnsi="Times New Roman"/>
          <w:szCs w:val="22"/>
          <w:lang w:val="es-ES" w:eastAsia="ko-KR"/>
        </w:rPr>
        <w:t>Estados Unidos,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="00CD5CE9">
        <w:rPr>
          <w:rFonts w:ascii="Times New Roman" w:eastAsia="Batang" w:hAnsi="Times New Roman"/>
          <w:szCs w:val="22"/>
          <w:lang w:val="es-ES" w:eastAsia="ko-KR"/>
        </w:rPr>
        <w:t>Tailandia. Ecuador, Chile, El Salvador,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="00CD5CE9">
        <w:rPr>
          <w:rFonts w:ascii="Times New Roman" w:eastAsia="Batang" w:hAnsi="Times New Roman"/>
          <w:szCs w:val="22"/>
          <w:lang w:val="es-ES" w:eastAsia="ko-KR"/>
        </w:rPr>
        <w:t>Taiwán y México</w:t>
      </w:r>
      <w:r>
        <w:rPr>
          <w:rFonts w:ascii="Times New Roman" w:eastAsia="Batang" w:hAnsi="Times New Roman"/>
          <w:szCs w:val="22"/>
          <w:lang w:val="es-ES" w:eastAsia="ko-KR"/>
        </w:rPr>
        <w:t>.</w:t>
      </w:r>
    </w:p>
    <w:p w14:paraId="1ACF2FA3" w14:textId="77777777" w:rsidR="00CB6577" w:rsidRPr="0000322A" w:rsidRDefault="00CB6577" w:rsidP="00966851">
      <w:pPr>
        <w:spacing w:line="276" w:lineRule="auto"/>
        <w:rPr>
          <w:rFonts w:ascii="Times New Roman" w:hAnsi="Times New Roman"/>
          <w:b/>
          <w:szCs w:val="22"/>
          <w:lang w:val="es-ES"/>
        </w:rPr>
      </w:pPr>
    </w:p>
    <w:p w14:paraId="19633498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DE55D6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33DC689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3F6487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7A47D1A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041EE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C70E688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4248E4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17C384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15869FF5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8B33007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D466076" w14:textId="77777777" w:rsidR="0000322A" w:rsidRPr="00966851" w:rsidRDefault="0000322A" w:rsidP="0000322A">
      <w:pPr>
        <w:spacing w:line="276" w:lineRule="auto"/>
        <w:rPr>
          <w:rFonts w:ascii="Times New Roman" w:hAnsi="Times New Roman"/>
          <w:b/>
          <w:szCs w:val="22"/>
        </w:rPr>
      </w:pPr>
      <w:r w:rsidRPr="00966851">
        <w:rPr>
          <w:rFonts w:ascii="Times New Roman" w:hAnsi="Times New Roman"/>
          <w:b/>
          <w:szCs w:val="22"/>
        </w:rPr>
        <w:t>Exportaciones por rubros en USD</w:t>
      </w:r>
    </w:p>
    <w:p w14:paraId="4FEF5DD7" w14:textId="20A799AF" w:rsidR="0000322A" w:rsidRDefault="00802BC8" w:rsidP="00966851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noProof/>
        </w:rPr>
        <w:drawing>
          <wp:inline distT="0" distB="0" distL="0" distR="0" wp14:anchorId="58BF9E12" wp14:editId="2D430549">
            <wp:extent cx="5732145" cy="3745865"/>
            <wp:effectExtent l="0" t="0" r="1905" b="698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16DDF7E-05DB-4B4B-84E3-317E0ED426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EFEC2E" w14:textId="77777777" w:rsidR="00542F0C" w:rsidRPr="00966851" w:rsidRDefault="005065B6" w:rsidP="00966851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0B4469D8" w14:textId="77777777" w:rsidR="00BD421A" w:rsidRDefault="00BD421A" w:rsidP="00BD421A">
      <w:pPr>
        <w:spacing w:line="276" w:lineRule="auto"/>
        <w:ind w:firstLine="709"/>
        <w:rPr>
          <w:rFonts w:ascii="Century Gothic" w:eastAsia="Batang" w:hAnsi="Century Gothic" w:cs="Arial"/>
          <w:szCs w:val="22"/>
          <w:lang w:eastAsia="ko-KR"/>
        </w:rPr>
      </w:pPr>
    </w:p>
    <w:p w14:paraId="5A9D41BC" w14:textId="544DF7FD" w:rsidR="000131FA" w:rsidRDefault="000131FA" w:rsidP="000131FA">
      <w:pPr>
        <w:spacing w:line="276" w:lineRule="auto"/>
        <w:ind w:firstLine="709"/>
        <w:rPr>
          <w:rFonts w:ascii="Century Gothic" w:eastAsia="Batang" w:hAnsi="Century Gothic" w:cs="Arial"/>
          <w:b/>
          <w:szCs w:val="22"/>
          <w:lang w:eastAsia="ko-KR"/>
        </w:rPr>
      </w:pPr>
      <w:r w:rsidRPr="00CD712A">
        <w:rPr>
          <w:rFonts w:ascii="Century Gothic" w:eastAsia="Batang" w:hAnsi="Century Gothic" w:cs="Arial"/>
          <w:szCs w:val="22"/>
          <w:lang w:eastAsia="ko-KR"/>
        </w:rPr>
        <w:t xml:space="preserve">Las exportaciones </w:t>
      </w:r>
      <w:r w:rsidR="00CD5CE9">
        <w:rPr>
          <w:rFonts w:ascii="Century Gothic" w:eastAsia="Batang" w:hAnsi="Century Gothic" w:cs="Arial"/>
          <w:szCs w:val="22"/>
          <w:lang w:eastAsia="ko-KR"/>
        </w:rPr>
        <w:t>acumuladas durante los dos primeros meses del año</w:t>
      </w:r>
      <w:r>
        <w:rPr>
          <w:rFonts w:ascii="Century Gothic" w:eastAsia="Batang" w:hAnsi="Century Gothic" w:cs="Arial"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ascienden a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 xml:space="preserve">USD </w:t>
      </w:r>
      <w:r w:rsidR="00802BC8" w:rsidRPr="00802BC8">
        <w:rPr>
          <w:rFonts w:ascii="Century Gothic" w:eastAsia="Batang" w:hAnsi="Century Gothic" w:cs="Arial"/>
          <w:b/>
          <w:szCs w:val="22"/>
          <w:lang w:eastAsia="ko-KR"/>
        </w:rPr>
        <w:t>114.818.118</w:t>
      </w:r>
      <w:r w:rsidR="00802BC8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registrando un aumento del </w:t>
      </w:r>
      <w:r w:rsidR="00802BC8">
        <w:rPr>
          <w:rFonts w:ascii="Century Gothic" w:eastAsia="Batang" w:hAnsi="Century Gothic" w:cs="Arial"/>
          <w:b/>
          <w:szCs w:val="22"/>
          <w:lang w:eastAsia="ko-KR"/>
        </w:rPr>
        <w:t>2</w:t>
      </w:r>
      <w:r w:rsidRPr="00BD421A">
        <w:rPr>
          <w:rFonts w:ascii="Century Gothic" w:eastAsia="Batang" w:hAnsi="Century Gothic" w:cs="Arial"/>
          <w:b/>
          <w:szCs w:val="22"/>
          <w:lang w:eastAsia="ko-KR"/>
        </w:rPr>
        <w:t>%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en comparación al mismo periodo de año anterior cuando alcanzo la suma de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USD</w:t>
      </w:r>
      <w:r w:rsidR="00703EA2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="00802BC8" w:rsidRPr="00802BC8">
        <w:rPr>
          <w:rFonts w:ascii="Century Gothic" w:eastAsia="Batang" w:hAnsi="Century Gothic" w:cs="Arial"/>
          <w:b/>
          <w:szCs w:val="22"/>
          <w:lang w:eastAsia="ko-KR"/>
        </w:rPr>
        <w:t>113.019.905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.</w:t>
      </w:r>
    </w:p>
    <w:p w14:paraId="5DEFA0F6" w14:textId="77777777" w:rsidR="000131FA" w:rsidRDefault="000131FA" w:rsidP="0000322A">
      <w:pPr>
        <w:spacing w:line="276" w:lineRule="auto"/>
        <w:rPr>
          <w:rFonts w:ascii="Times New Roman" w:eastAsia="Batang" w:hAnsi="Times New Roman"/>
          <w:b/>
          <w:szCs w:val="22"/>
          <w:lang w:eastAsia="ko-KR"/>
        </w:rPr>
      </w:pPr>
    </w:p>
    <w:p w14:paraId="4CFEEB23" w14:textId="7E8380E4" w:rsidR="0000322A" w:rsidRPr="00966851" w:rsidRDefault="00802BC8" w:rsidP="00CC2BF8">
      <w:pPr>
        <w:spacing w:line="276" w:lineRule="auto"/>
        <w:jc w:val="center"/>
        <w:rPr>
          <w:rFonts w:ascii="Times New Roman" w:eastAsia="Batang" w:hAnsi="Times New Roman"/>
          <w:b/>
          <w:szCs w:val="22"/>
          <w:lang w:eastAsia="ko-KR"/>
        </w:rPr>
      </w:pPr>
      <w:r>
        <w:rPr>
          <w:noProof/>
        </w:rPr>
        <w:drawing>
          <wp:inline distT="0" distB="0" distL="0" distR="0" wp14:anchorId="15F4A4F7" wp14:editId="2DC60558">
            <wp:extent cx="5732145" cy="3418205"/>
            <wp:effectExtent l="0" t="0" r="1905" b="1079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23E10523-8D94-4128-966C-C995EC8C2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8F7B86" w14:textId="77777777" w:rsidR="0000322A" w:rsidRPr="00966851" w:rsidRDefault="0000322A" w:rsidP="00C04E4C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lastRenderedPageBreak/>
        <w:t>Fuente: Secretaria Ejecutiva del CNIME</w:t>
      </w:r>
    </w:p>
    <w:p w14:paraId="1D82AD68" w14:textId="77777777" w:rsidR="00F133AC" w:rsidRPr="00966851" w:rsidRDefault="00F133AC" w:rsidP="00966851">
      <w:pPr>
        <w:spacing w:line="276" w:lineRule="auto"/>
        <w:rPr>
          <w:rFonts w:ascii="Times New Roman" w:hAnsi="Times New Roman"/>
          <w:szCs w:val="22"/>
          <w:lang w:val="es-ES"/>
        </w:rPr>
      </w:pPr>
    </w:p>
    <w:p w14:paraId="39432D92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1381C1E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09BA22F" w14:textId="77777777" w:rsidR="004E39AA" w:rsidRPr="00C04E4C" w:rsidRDefault="00C04E4C" w:rsidP="0000322A">
      <w:pPr>
        <w:spacing w:line="276" w:lineRule="auto"/>
        <w:rPr>
          <w:rFonts w:ascii="Times New Roman" w:eastAsia="Batang" w:hAnsi="Times New Roman"/>
          <w:b/>
          <w:szCs w:val="22"/>
          <w:lang w:val="es-ES"/>
        </w:rPr>
      </w:pPr>
      <w:r w:rsidRPr="00C04E4C">
        <w:rPr>
          <w:rFonts w:ascii="Times New Roman" w:eastAsia="Batang" w:hAnsi="Times New Roman"/>
          <w:b/>
          <w:szCs w:val="22"/>
          <w:lang w:val="es-ES"/>
        </w:rPr>
        <w:t>Exportaciones interanuales</w:t>
      </w:r>
    </w:p>
    <w:p w14:paraId="2DA9C582" w14:textId="77777777" w:rsidR="00C04E4C" w:rsidRDefault="00C04E4C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50ADD4C" w14:textId="38B06E46" w:rsidR="004E39AA" w:rsidRDefault="00802BC8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>
        <w:rPr>
          <w:noProof/>
        </w:rPr>
        <w:drawing>
          <wp:inline distT="0" distB="0" distL="0" distR="0" wp14:anchorId="638333A4" wp14:editId="458DEF29">
            <wp:extent cx="5732145" cy="3054350"/>
            <wp:effectExtent l="0" t="0" r="1905" b="1270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D89AFA" w14:textId="77777777" w:rsidR="004E39AA" w:rsidRPr="00966851" w:rsidRDefault="004E39AA" w:rsidP="004E39AA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4CBE5803" w14:textId="77777777" w:rsidR="00A806ED" w:rsidRDefault="00A806ED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081A512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La MAQUILA, es un régimen de atracción de inversión sumamente conveniente a través del cual se producen localmente en Paraguay bienes y servicios de exportación, con grandes beneficios para los inversionistas nacionales y extranjeros. Regulada en por la Ley 1064/97 y reglamentada por el Decreto 9585/00. Este sistema de producción es una prioridad del gobierno paraguayo para la atracción de nuevas inversiones. </w:t>
      </w:r>
    </w:p>
    <w:p w14:paraId="08A65DE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716D7A3A" w14:textId="2961BAFD" w:rsidR="00802BC8" w:rsidRDefault="00802BC8" w:rsidP="00802BC8">
      <w:pPr>
        <w:rPr>
          <w:rFonts w:ascii="Times New Roman" w:eastAsia="Batang" w:hAnsi="Times New Roman"/>
          <w:szCs w:val="22"/>
          <w:lang w:val="es-ES"/>
        </w:rPr>
      </w:pPr>
      <w:r>
        <w:rPr>
          <w:rFonts w:ascii="Times New Roman" w:eastAsia="Batang" w:hAnsi="Times New Roman"/>
          <w:szCs w:val="22"/>
          <w:lang w:val="es-ES"/>
        </w:rPr>
        <w:t>Actualmente 20</w:t>
      </w:r>
      <w:r w:rsidR="004A1E74">
        <w:rPr>
          <w:rFonts w:ascii="Times New Roman" w:eastAsia="Batang" w:hAnsi="Times New Roman"/>
          <w:szCs w:val="22"/>
          <w:lang w:val="es-ES"/>
        </w:rPr>
        <w:t>8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empresas se encuentran con </w:t>
      </w:r>
      <w:r>
        <w:rPr>
          <w:rFonts w:ascii="Times New Roman" w:eastAsia="Batang" w:hAnsi="Times New Roman"/>
          <w:szCs w:val="22"/>
          <w:lang w:val="es-ES"/>
        </w:rPr>
        <w:t>programas aprobados</w:t>
      </w:r>
      <w:r w:rsidRPr="00DA313D">
        <w:rPr>
          <w:rFonts w:ascii="Times New Roman" w:eastAsia="Batang" w:hAnsi="Times New Roman"/>
          <w:szCs w:val="22"/>
          <w:lang w:val="es-ES"/>
        </w:rPr>
        <w:t xml:space="preserve">, empleando directamente a </w:t>
      </w:r>
      <w:r>
        <w:rPr>
          <w:rFonts w:ascii="Times New Roman" w:eastAsia="Batang" w:hAnsi="Times New Roman"/>
          <w:szCs w:val="22"/>
          <w:lang w:val="es-ES"/>
        </w:rPr>
        <w:t>18.</w:t>
      </w:r>
      <w:r w:rsidR="004A1E74">
        <w:rPr>
          <w:rFonts w:ascii="Times New Roman" w:eastAsia="Batang" w:hAnsi="Times New Roman"/>
          <w:szCs w:val="22"/>
          <w:lang w:val="es-ES"/>
        </w:rPr>
        <w:t>950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  <w:r>
        <w:rPr>
          <w:rFonts w:ascii="Times New Roman" w:eastAsia="Batang" w:hAnsi="Times New Roman"/>
          <w:szCs w:val="22"/>
          <w:lang w:val="es-ES"/>
        </w:rPr>
        <w:t>personas, según planillas de IPS de las empresas.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</w:p>
    <w:p w14:paraId="0FF6EC76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EDA1D9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0AE28EF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Los principales beneficios: </w:t>
      </w:r>
    </w:p>
    <w:p w14:paraId="14653510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Tributo único del 1% sobre el valor agregado nacional </w:t>
      </w:r>
    </w:p>
    <w:p w14:paraId="09B1714B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La importación de bienes de capital, partes y herramientas, materias primas e insumos con suspensión de aranceles e impuestos</w:t>
      </w:r>
    </w:p>
    <w:p w14:paraId="775412D9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No existen límites del capital a invertir, ni montos mínimos puede ser nacional, extranjero o mixto.</w:t>
      </w:r>
    </w:p>
    <w:p w14:paraId="6F640F68" w14:textId="77777777" w:rsidR="00802BC8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Total libertad de instalarse en cualquier lugar del territorio paraguayo, adecuándose a los requisitos regionales según el caso.</w:t>
      </w:r>
    </w:p>
    <w:p w14:paraId="3D324BD8" w14:textId="77777777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D947C41" w14:textId="29261453" w:rsidR="00724834" w:rsidRDefault="00912ED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12ED4">
        <w:rPr>
          <w:rFonts w:ascii="Times New Roman" w:eastAsia="Batang" w:hAnsi="Times New Roman"/>
          <w:szCs w:val="22"/>
          <w:lang w:val="es-ES"/>
        </w:rPr>
        <w:lastRenderedPageBreak/>
        <w:drawing>
          <wp:inline distT="0" distB="0" distL="0" distR="0" wp14:anchorId="34E6811B" wp14:editId="2E5EB999">
            <wp:extent cx="5732145" cy="322453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9AD6" w14:textId="77777777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87BACF8" w14:textId="15230679" w:rsidR="00AC6207" w:rsidRPr="00966851" w:rsidRDefault="00724834" w:rsidP="0072483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FF32" wp14:editId="675FE3D9">
                <wp:simplePos x="0" y="0"/>
                <wp:positionH relativeFrom="column">
                  <wp:posOffset>13605510</wp:posOffset>
                </wp:positionH>
                <wp:positionV relativeFrom="paragraph">
                  <wp:posOffset>1857375</wp:posOffset>
                </wp:positionV>
                <wp:extent cx="111622" cy="1441622"/>
                <wp:effectExtent l="0" t="0" r="22225" b="25400"/>
                <wp:wrapNone/>
                <wp:docPr id="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2" cy="144162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642B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1.3pt;margin-top:146.25pt;width:8.8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" adj="139" strokecolor="black [3213]"/>
            </w:pict>
          </mc:Fallback>
        </mc:AlternateContent>
      </w: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4EEFF" wp14:editId="0C418D73">
                <wp:simplePos x="0" y="0"/>
                <wp:positionH relativeFrom="column">
                  <wp:posOffset>13829030</wp:posOffset>
                </wp:positionH>
                <wp:positionV relativeFrom="paragraph">
                  <wp:posOffset>1857375</wp:posOffset>
                </wp:positionV>
                <wp:extent cx="1774140" cy="1200329"/>
                <wp:effectExtent l="0" t="0" r="0" b="0"/>
                <wp:wrapNone/>
                <wp:docPr id="7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4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B17A9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Plásticos.</w:t>
                            </w:r>
                          </w:p>
                          <w:p w14:paraId="23278DC8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Confecciones.</w:t>
                            </w:r>
                          </w:p>
                          <w:p w14:paraId="3F76EDE6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Autopartes.</w:t>
                            </w:r>
                          </w:p>
                          <w:p w14:paraId="50916BE4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Metalúrgico.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4EEFF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088.9pt;margin-top:146.25pt;width:139.7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" filled="f" stroked="f">
                <v:textbox style="mso-fit-shape-to-text:t">
                  <w:txbxContent>
                    <w:p w14:paraId="4FDB17A9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Plásticos.</w:t>
                      </w:r>
                    </w:p>
                    <w:p w14:paraId="23278DC8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Confecciones.</w:t>
                      </w:r>
                    </w:p>
                    <w:p w14:paraId="3F76EDE6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Autopartes.</w:t>
                      </w:r>
                    </w:p>
                    <w:p w14:paraId="50916BE4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Metalúrgico.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A1E74" w:rsidRPr="004A1E74">
        <w:rPr>
          <w:rFonts w:ascii="Times New Roman" w:eastAsia="Batang" w:hAnsi="Times New Roman"/>
          <w:b/>
          <w:i/>
          <w:noProof/>
          <w:szCs w:val="22"/>
          <w:u w:val="single"/>
          <w:lang w:val="es-ES"/>
        </w:rPr>
        <w:drawing>
          <wp:inline distT="0" distB="0" distL="0" distR="0" wp14:anchorId="6D62FB93" wp14:editId="1939E22E">
            <wp:extent cx="5732145" cy="3224530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07" w:rsidRPr="00966851" w:rsidSect="00AC6207">
      <w:headerReference w:type="default" r:id="rId13"/>
      <w:pgSz w:w="11907" w:h="16839" w:code="9"/>
      <w:pgMar w:top="2285" w:right="578" w:bottom="284" w:left="2302" w:header="18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3BD7" w14:textId="77777777" w:rsidR="00EB7DA4" w:rsidRDefault="00EB7DA4">
      <w:r>
        <w:separator/>
      </w:r>
    </w:p>
  </w:endnote>
  <w:endnote w:type="continuationSeparator" w:id="0">
    <w:p w14:paraId="7EE52CCE" w14:textId="77777777" w:rsidR="00EB7DA4" w:rsidRDefault="00E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915A1" w14:textId="77777777" w:rsidR="00EB7DA4" w:rsidRDefault="00EB7DA4">
      <w:r>
        <w:separator/>
      </w:r>
    </w:p>
  </w:footnote>
  <w:footnote w:type="continuationSeparator" w:id="0">
    <w:p w14:paraId="7B64282F" w14:textId="77777777" w:rsidR="00EB7DA4" w:rsidRDefault="00EB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2EC1" w14:textId="77777777" w:rsidR="00715964" w:rsidRDefault="00B93DB1">
    <w:pPr>
      <w:pStyle w:val="Encabezado"/>
      <w:tabs>
        <w:tab w:val="left" w:pos="3190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197244C" wp14:editId="1E5821CC">
          <wp:simplePos x="0" y="0"/>
          <wp:positionH relativeFrom="column">
            <wp:posOffset>4226560</wp:posOffset>
          </wp:positionH>
          <wp:positionV relativeFrom="paragraph">
            <wp:posOffset>0</wp:posOffset>
          </wp:positionV>
          <wp:extent cx="1569085" cy="617220"/>
          <wp:effectExtent l="0" t="0" r="0" b="0"/>
          <wp:wrapNone/>
          <wp:docPr id="27" name="Imagen 27" descr="logosC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sCn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6155833" wp14:editId="6BE579D9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1816100" cy="375920"/>
          <wp:effectExtent l="0" t="0" r="0" b="508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806FC5" wp14:editId="234CAED0">
              <wp:simplePos x="0" y="0"/>
              <wp:positionH relativeFrom="column">
                <wp:posOffset>-1466850</wp:posOffset>
              </wp:positionH>
              <wp:positionV relativeFrom="paragraph">
                <wp:posOffset>-575310</wp:posOffset>
              </wp:positionV>
              <wp:extent cx="1397000" cy="1299845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29984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87BB4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648E817A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4A0A2466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0223394C" w14:textId="77777777" w:rsidR="00715964" w:rsidRDefault="00715964">
                          <w:pPr>
                            <w:pStyle w:val="Piedepgina"/>
                            <w:ind w:left="110" w:hanging="110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1C59BCB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9A9F42E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4809539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8D7A6C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74254C72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5F2A7CD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91C3D0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B5D784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BDB192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</w:p>
                        <w:p w14:paraId="5F5FAD5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 xml:space="preserve">VISIÓN </w:t>
                          </w:r>
                        </w:p>
                        <w:p w14:paraId="748A2F88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44E6C70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MAQUILA"/>
                            </w:smartTagPr>
                            <w:r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s-MX"/>
                              </w:rPr>
                              <w:t>La MAQUILA</w:t>
                            </w:r>
                          </w:smartTag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      </w:r>
                        </w:p>
                        <w:p w14:paraId="7FA3049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BF3F118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874F04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9327D0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0F26575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5E2B0807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3DFDC2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E0E3F7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73A60DB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46878D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>MISIÓN</w:t>
                          </w:r>
                        </w:p>
                        <w:p w14:paraId="76F00699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13A1483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      </w:r>
                        </w:p>
                        <w:p w14:paraId="5C31EC62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06F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15.5pt;margin-top:-45.3pt;width:110pt;height:10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" fillcolor="#ddd" stroked="f">
              <v:textbox>
                <w:txbxContent>
                  <w:p w14:paraId="33587BB4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648E817A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4A0A2466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0223394C" w14:textId="77777777" w:rsidR="00715964" w:rsidRDefault="00715964">
                    <w:pPr>
                      <w:pStyle w:val="Piedepgina"/>
                      <w:ind w:left="110" w:hanging="110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1C59BCB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9A9F42E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4809539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8D7A6C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74254C72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5F2A7CD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91C3D0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B5D784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BDB192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</w:p>
                  <w:p w14:paraId="5F5FAD5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 xml:space="preserve">VISIÓN </w:t>
                    </w:r>
                  </w:p>
                  <w:p w14:paraId="748A2F88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44E6C70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smartTag w:uri="urn:schemas-microsoft-com:office:smarttags" w:element="PersonName">
                      <w:smartTagPr>
                        <w:attr w:name="ProductID" w:val="La MAQUILA"/>
                      </w:smartTagPr>
                      <w:r>
                        <w:rPr>
                          <w:rFonts w:ascii="Century Gothic" w:hAnsi="Century Gothic"/>
                          <w:sz w:val="14"/>
                          <w:szCs w:val="16"/>
                          <w:lang w:val="es-MX"/>
                        </w:rPr>
                        <w:t>La MAQUILA</w:t>
                      </w:r>
                    </w:smartTag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</w:r>
                  </w:p>
                  <w:p w14:paraId="7FA3049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BF3F118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874F04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9327D0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0F26575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5E2B0807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3DFDC2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E0E3F7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73A60DB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46878D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>MISIÓN</w:t>
                    </w:r>
                  </w:p>
                  <w:p w14:paraId="76F00699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13A1483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</w:r>
                  </w:p>
                  <w:p w14:paraId="5C31EC62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715964">
      <w:t xml:space="preserve">                                                     </w:t>
    </w:r>
  </w:p>
  <w:p w14:paraId="20B192E2" w14:textId="77777777" w:rsidR="00715964" w:rsidRDefault="00715964">
    <w:pPr>
      <w:pStyle w:val="Encabezado"/>
      <w:tabs>
        <w:tab w:val="left" w:pos="3190"/>
      </w:tabs>
    </w:pPr>
  </w:p>
  <w:p w14:paraId="575CA9BD" w14:textId="77777777" w:rsidR="00715964" w:rsidRDefault="00715964">
    <w:pPr>
      <w:pStyle w:val="Encabezado"/>
      <w:tabs>
        <w:tab w:val="left" w:pos="3190"/>
      </w:tabs>
    </w:pPr>
  </w:p>
  <w:p w14:paraId="18E895FF" w14:textId="77777777" w:rsidR="00715964" w:rsidRDefault="00715964">
    <w:pPr>
      <w:pStyle w:val="Encabezado"/>
      <w:tabs>
        <w:tab w:val="left" w:pos="3190"/>
      </w:tabs>
    </w:pPr>
  </w:p>
  <w:p w14:paraId="2DCF256A" w14:textId="77777777" w:rsidR="00715964" w:rsidRDefault="00715964">
    <w:pPr>
      <w:pStyle w:val="Encabezado"/>
      <w:tabs>
        <w:tab w:val="left" w:pos="3190"/>
      </w:tabs>
    </w:pPr>
  </w:p>
  <w:p w14:paraId="7EDB1BCF" w14:textId="77777777" w:rsidR="00715964" w:rsidRDefault="00715964">
    <w:pPr>
      <w:pStyle w:val="Encabezado"/>
      <w:pBdr>
        <w:top w:val="single" w:sz="12" w:space="1" w:color="auto"/>
        <w:bottom w:val="single" w:sz="12" w:space="2" w:color="auto"/>
      </w:pBdr>
      <w:tabs>
        <w:tab w:val="left" w:pos="3190"/>
      </w:tabs>
      <w:jc w:val="center"/>
      <w:rPr>
        <w:rFonts w:ascii="Arial Narrow" w:hAnsi="Arial Narrow" w:cs="Tahoma"/>
        <w:b/>
        <w:bCs/>
        <w:sz w:val="20"/>
      </w:rPr>
    </w:pPr>
    <w:r>
      <w:rPr>
        <w:rFonts w:ascii="Arial Narrow" w:hAnsi="Arial Narrow" w:cs="Tahoma"/>
        <w:b/>
        <w:bCs/>
        <w:sz w:val="20"/>
      </w:rPr>
      <w:t>SECRETARIA EJECUTIVA DEL CONSEJO NACIONAL DE INDUSTRIAS MAQUILADORAS DE EXPORTACIÓN</w:t>
    </w:r>
  </w:p>
  <w:p w14:paraId="36C6DF44" w14:textId="77777777" w:rsidR="00715964" w:rsidRDefault="00715964">
    <w:pPr>
      <w:pStyle w:val="Ttulo2"/>
      <w:ind w:firstLine="0"/>
      <w:jc w:val="right"/>
      <w:rPr>
        <w:rFonts w:ascii="Arial" w:hAnsi="Arial" w:cs="Arial"/>
        <w:szCs w:val="22"/>
        <w:lang w:val="es-ES"/>
      </w:rPr>
    </w:pPr>
  </w:p>
  <w:p w14:paraId="06701257" w14:textId="77777777" w:rsidR="00715964" w:rsidRDefault="00715964">
    <w:pPr>
      <w:pStyle w:val="Ttulo2"/>
      <w:ind w:firstLine="0"/>
      <w:jc w:val="right"/>
      <w:rPr>
        <w:rFonts w:ascii="Arial" w:hAnsi="Arial" w:cs="Arial"/>
        <w:b w:val="0"/>
        <w:sz w:val="18"/>
        <w:szCs w:val="18"/>
        <w:lang w:val="es-ES"/>
      </w:rPr>
    </w:pP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133"/>
    <w:multiLevelType w:val="hybridMultilevel"/>
    <w:tmpl w:val="00DAF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374C1"/>
    <w:multiLevelType w:val="hybridMultilevel"/>
    <w:tmpl w:val="CBD40982"/>
    <w:lvl w:ilvl="0" w:tplc="24F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C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A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C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A9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669FA"/>
    <w:multiLevelType w:val="hybridMultilevel"/>
    <w:tmpl w:val="783C0530"/>
    <w:lvl w:ilvl="0" w:tplc="0C0A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A500F3"/>
    <w:multiLevelType w:val="hybridMultilevel"/>
    <w:tmpl w:val="7720A856"/>
    <w:lvl w:ilvl="0" w:tplc="8B3012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A5A99"/>
    <w:multiLevelType w:val="hybridMultilevel"/>
    <w:tmpl w:val="F07C825E"/>
    <w:lvl w:ilvl="0" w:tplc="B97C51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4062A"/>
    <w:multiLevelType w:val="hybridMultilevel"/>
    <w:tmpl w:val="6A665578"/>
    <w:lvl w:ilvl="0" w:tplc="72F6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CF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66"/>
    <w:multiLevelType w:val="hybridMultilevel"/>
    <w:tmpl w:val="B0D6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6AF"/>
    <w:multiLevelType w:val="hybridMultilevel"/>
    <w:tmpl w:val="2DE8A648"/>
    <w:lvl w:ilvl="0" w:tplc="AD24B4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06FC"/>
    <w:multiLevelType w:val="hybridMultilevel"/>
    <w:tmpl w:val="57642F6E"/>
    <w:lvl w:ilvl="0" w:tplc="67546F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A52"/>
    <w:multiLevelType w:val="hybridMultilevel"/>
    <w:tmpl w:val="5E6CACA2"/>
    <w:lvl w:ilvl="0" w:tplc="4B964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4E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E3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5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46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C1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F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80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9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295E63"/>
    <w:multiLevelType w:val="hybridMultilevel"/>
    <w:tmpl w:val="885A82C4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3B322C3D"/>
    <w:multiLevelType w:val="hybridMultilevel"/>
    <w:tmpl w:val="D398EE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10C"/>
    <w:multiLevelType w:val="hybridMultilevel"/>
    <w:tmpl w:val="A09626E6"/>
    <w:lvl w:ilvl="0" w:tplc="B04E4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6ABB"/>
    <w:multiLevelType w:val="hybridMultilevel"/>
    <w:tmpl w:val="68249F84"/>
    <w:lvl w:ilvl="0" w:tplc="2AA6930A">
      <w:start w:val="200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2A2C"/>
    <w:multiLevelType w:val="hybridMultilevel"/>
    <w:tmpl w:val="6B006B1A"/>
    <w:lvl w:ilvl="0" w:tplc="5718C9B2">
      <w:start w:val="2"/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  <w:b/>
        <w:sz w:val="22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7C05FC8"/>
    <w:multiLevelType w:val="hybridMultilevel"/>
    <w:tmpl w:val="ACB0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21CCD"/>
    <w:multiLevelType w:val="hybridMultilevel"/>
    <w:tmpl w:val="4942F642"/>
    <w:lvl w:ilvl="0" w:tplc="00563FA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F5F2ACD"/>
    <w:multiLevelType w:val="hybridMultilevel"/>
    <w:tmpl w:val="8362D738"/>
    <w:lvl w:ilvl="0" w:tplc="CB1EC36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fillcolor="#f90" strokecolor="#f60">
      <v:fill color="#f90"/>
      <v:stroke color="#f60" weight=".9pt"/>
      <o:colormru v:ext="edit" colors="#ddd,#3c3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21"/>
    <w:rsid w:val="0000322A"/>
    <w:rsid w:val="0000457C"/>
    <w:rsid w:val="00005F5A"/>
    <w:rsid w:val="00011152"/>
    <w:rsid w:val="000129A5"/>
    <w:rsid w:val="00012BBA"/>
    <w:rsid w:val="00013101"/>
    <w:rsid w:val="000131FA"/>
    <w:rsid w:val="000132E9"/>
    <w:rsid w:val="000149F9"/>
    <w:rsid w:val="00017BA3"/>
    <w:rsid w:val="00027D58"/>
    <w:rsid w:val="00032FFE"/>
    <w:rsid w:val="00033F43"/>
    <w:rsid w:val="000362BC"/>
    <w:rsid w:val="00036672"/>
    <w:rsid w:val="000375FA"/>
    <w:rsid w:val="00043E60"/>
    <w:rsid w:val="00044649"/>
    <w:rsid w:val="000454EB"/>
    <w:rsid w:val="000524C2"/>
    <w:rsid w:val="00053C22"/>
    <w:rsid w:val="00060267"/>
    <w:rsid w:val="000616FB"/>
    <w:rsid w:val="00063922"/>
    <w:rsid w:val="00063E7C"/>
    <w:rsid w:val="0006413B"/>
    <w:rsid w:val="000647A8"/>
    <w:rsid w:val="000730A6"/>
    <w:rsid w:val="00075930"/>
    <w:rsid w:val="000808A6"/>
    <w:rsid w:val="00086E53"/>
    <w:rsid w:val="0008745C"/>
    <w:rsid w:val="00087A86"/>
    <w:rsid w:val="000907C1"/>
    <w:rsid w:val="00090B54"/>
    <w:rsid w:val="00091CE9"/>
    <w:rsid w:val="00093B45"/>
    <w:rsid w:val="00095E48"/>
    <w:rsid w:val="000A62A1"/>
    <w:rsid w:val="000B20B1"/>
    <w:rsid w:val="000B2EA2"/>
    <w:rsid w:val="000B3768"/>
    <w:rsid w:val="000B6357"/>
    <w:rsid w:val="000C0FE9"/>
    <w:rsid w:val="000C2086"/>
    <w:rsid w:val="000C2B31"/>
    <w:rsid w:val="000D120A"/>
    <w:rsid w:val="000D2AB7"/>
    <w:rsid w:val="000D66A6"/>
    <w:rsid w:val="000D7DFD"/>
    <w:rsid w:val="000E300C"/>
    <w:rsid w:val="000E3795"/>
    <w:rsid w:val="000E3DB7"/>
    <w:rsid w:val="000E6509"/>
    <w:rsid w:val="000F0027"/>
    <w:rsid w:val="000F1430"/>
    <w:rsid w:val="000F28E8"/>
    <w:rsid w:val="000F3AB1"/>
    <w:rsid w:val="000F653A"/>
    <w:rsid w:val="00101F56"/>
    <w:rsid w:val="00103C85"/>
    <w:rsid w:val="00106631"/>
    <w:rsid w:val="00107E0E"/>
    <w:rsid w:val="0011276D"/>
    <w:rsid w:val="001165EF"/>
    <w:rsid w:val="0012220D"/>
    <w:rsid w:val="00122304"/>
    <w:rsid w:val="00123284"/>
    <w:rsid w:val="001251B1"/>
    <w:rsid w:val="001253C8"/>
    <w:rsid w:val="00125C8F"/>
    <w:rsid w:val="001320F1"/>
    <w:rsid w:val="001379D4"/>
    <w:rsid w:val="00141B53"/>
    <w:rsid w:val="00143FCE"/>
    <w:rsid w:val="00144AD5"/>
    <w:rsid w:val="001519FA"/>
    <w:rsid w:val="0015211B"/>
    <w:rsid w:val="00155404"/>
    <w:rsid w:val="001560E1"/>
    <w:rsid w:val="0016463B"/>
    <w:rsid w:val="00166644"/>
    <w:rsid w:val="00171365"/>
    <w:rsid w:val="00171ACA"/>
    <w:rsid w:val="001728FC"/>
    <w:rsid w:val="001776ED"/>
    <w:rsid w:val="001844DB"/>
    <w:rsid w:val="00185865"/>
    <w:rsid w:val="00190010"/>
    <w:rsid w:val="0019160B"/>
    <w:rsid w:val="00191E84"/>
    <w:rsid w:val="001920D0"/>
    <w:rsid w:val="001945CD"/>
    <w:rsid w:val="00195135"/>
    <w:rsid w:val="001963DF"/>
    <w:rsid w:val="001972D6"/>
    <w:rsid w:val="001974C3"/>
    <w:rsid w:val="001B343C"/>
    <w:rsid w:val="001B37E4"/>
    <w:rsid w:val="001C1E50"/>
    <w:rsid w:val="001C21E1"/>
    <w:rsid w:val="001C4429"/>
    <w:rsid w:val="001C62EF"/>
    <w:rsid w:val="001C7EC2"/>
    <w:rsid w:val="001D1653"/>
    <w:rsid w:val="001D1B81"/>
    <w:rsid w:val="001D21F3"/>
    <w:rsid w:val="001D2905"/>
    <w:rsid w:val="001E105E"/>
    <w:rsid w:val="001E184C"/>
    <w:rsid w:val="001E2C79"/>
    <w:rsid w:val="001E60C7"/>
    <w:rsid w:val="001E74D2"/>
    <w:rsid w:val="001F4E03"/>
    <w:rsid w:val="002024E5"/>
    <w:rsid w:val="00205B29"/>
    <w:rsid w:val="00205F17"/>
    <w:rsid w:val="00211E82"/>
    <w:rsid w:val="002129AA"/>
    <w:rsid w:val="002165B9"/>
    <w:rsid w:val="00217920"/>
    <w:rsid w:val="002225B4"/>
    <w:rsid w:val="002262E2"/>
    <w:rsid w:val="0023389B"/>
    <w:rsid w:val="00234BD1"/>
    <w:rsid w:val="00245AB9"/>
    <w:rsid w:val="0025061C"/>
    <w:rsid w:val="00253AF9"/>
    <w:rsid w:val="002548CF"/>
    <w:rsid w:val="002615C0"/>
    <w:rsid w:val="00261A48"/>
    <w:rsid w:val="00262D74"/>
    <w:rsid w:val="00270AF7"/>
    <w:rsid w:val="00272949"/>
    <w:rsid w:val="0027313D"/>
    <w:rsid w:val="00273C4E"/>
    <w:rsid w:val="00274F00"/>
    <w:rsid w:val="00275C05"/>
    <w:rsid w:val="00275FE1"/>
    <w:rsid w:val="0028038C"/>
    <w:rsid w:val="002807E7"/>
    <w:rsid w:val="002832ED"/>
    <w:rsid w:val="00283C39"/>
    <w:rsid w:val="00290F98"/>
    <w:rsid w:val="00290FA4"/>
    <w:rsid w:val="00292F90"/>
    <w:rsid w:val="00293730"/>
    <w:rsid w:val="00294214"/>
    <w:rsid w:val="0029494F"/>
    <w:rsid w:val="00296E34"/>
    <w:rsid w:val="002B209D"/>
    <w:rsid w:val="002B623D"/>
    <w:rsid w:val="002B6911"/>
    <w:rsid w:val="002C29C6"/>
    <w:rsid w:val="002C3BA0"/>
    <w:rsid w:val="002C4E09"/>
    <w:rsid w:val="002D3070"/>
    <w:rsid w:val="002D7F07"/>
    <w:rsid w:val="002D7F51"/>
    <w:rsid w:val="002E1D56"/>
    <w:rsid w:val="002E7A61"/>
    <w:rsid w:val="002F0515"/>
    <w:rsid w:val="002F22B4"/>
    <w:rsid w:val="002F5B31"/>
    <w:rsid w:val="00302E06"/>
    <w:rsid w:val="00306BFA"/>
    <w:rsid w:val="00307157"/>
    <w:rsid w:val="003076A9"/>
    <w:rsid w:val="003141AA"/>
    <w:rsid w:val="003175AB"/>
    <w:rsid w:val="00331212"/>
    <w:rsid w:val="0033202D"/>
    <w:rsid w:val="00332FDD"/>
    <w:rsid w:val="00333823"/>
    <w:rsid w:val="00333C86"/>
    <w:rsid w:val="00334C39"/>
    <w:rsid w:val="003361FF"/>
    <w:rsid w:val="003418D4"/>
    <w:rsid w:val="00341FD9"/>
    <w:rsid w:val="00344099"/>
    <w:rsid w:val="003472E2"/>
    <w:rsid w:val="00351192"/>
    <w:rsid w:val="00352210"/>
    <w:rsid w:val="00353947"/>
    <w:rsid w:val="00354479"/>
    <w:rsid w:val="00355060"/>
    <w:rsid w:val="00355D4B"/>
    <w:rsid w:val="00357036"/>
    <w:rsid w:val="00357227"/>
    <w:rsid w:val="00360C7D"/>
    <w:rsid w:val="0036129E"/>
    <w:rsid w:val="00364E86"/>
    <w:rsid w:val="00374860"/>
    <w:rsid w:val="003767CF"/>
    <w:rsid w:val="00376FF5"/>
    <w:rsid w:val="00382036"/>
    <w:rsid w:val="00384168"/>
    <w:rsid w:val="00385255"/>
    <w:rsid w:val="003867DB"/>
    <w:rsid w:val="00387EC4"/>
    <w:rsid w:val="003957C8"/>
    <w:rsid w:val="00395BE3"/>
    <w:rsid w:val="0039681A"/>
    <w:rsid w:val="003A12AB"/>
    <w:rsid w:val="003A266A"/>
    <w:rsid w:val="003A4D36"/>
    <w:rsid w:val="003A6593"/>
    <w:rsid w:val="003B0BED"/>
    <w:rsid w:val="003B1981"/>
    <w:rsid w:val="003B2726"/>
    <w:rsid w:val="003B5F8B"/>
    <w:rsid w:val="003B62BE"/>
    <w:rsid w:val="003B78FB"/>
    <w:rsid w:val="003C0939"/>
    <w:rsid w:val="003C1011"/>
    <w:rsid w:val="003C3712"/>
    <w:rsid w:val="003D19A2"/>
    <w:rsid w:val="003D3CAB"/>
    <w:rsid w:val="003D451E"/>
    <w:rsid w:val="003D4EF8"/>
    <w:rsid w:val="003D5F1C"/>
    <w:rsid w:val="003E1053"/>
    <w:rsid w:val="003F06B8"/>
    <w:rsid w:val="003F186F"/>
    <w:rsid w:val="003F1B5C"/>
    <w:rsid w:val="003F20E8"/>
    <w:rsid w:val="003F5625"/>
    <w:rsid w:val="003F691C"/>
    <w:rsid w:val="00401366"/>
    <w:rsid w:val="004032D7"/>
    <w:rsid w:val="004045CA"/>
    <w:rsid w:val="00407296"/>
    <w:rsid w:val="0041243E"/>
    <w:rsid w:val="0041336E"/>
    <w:rsid w:val="00413BC1"/>
    <w:rsid w:val="00425CAF"/>
    <w:rsid w:val="00432793"/>
    <w:rsid w:val="004355FC"/>
    <w:rsid w:val="00436DD4"/>
    <w:rsid w:val="00437289"/>
    <w:rsid w:val="00442E40"/>
    <w:rsid w:val="00444094"/>
    <w:rsid w:val="0045079F"/>
    <w:rsid w:val="00450AF2"/>
    <w:rsid w:val="004513D0"/>
    <w:rsid w:val="004677A9"/>
    <w:rsid w:val="004710A1"/>
    <w:rsid w:val="00471BED"/>
    <w:rsid w:val="0047376C"/>
    <w:rsid w:val="0047748B"/>
    <w:rsid w:val="0048694F"/>
    <w:rsid w:val="004946D0"/>
    <w:rsid w:val="0049735B"/>
    <w:rsid w:val="004A18A7"/>
    <w:rsid w:val="004A1E74"/>
    <w:rsid w:val="004A2AAE"/>
    <w:rsid w:val="004A3043"/>
    <w:rsid w:val="004A63AA"/>
    <w:rsid w:val="004B1EE9"/>
    <w:rsid w:val="004B1FAC"/>
    <w:rsid w:val="004B2A09"/>
    <w:rsid w:val="004B2FEF"/>
    <w:rsid w:val="004B39CA"/>
    <w:rsid w:val="004B5CB0"/>
    <w:rsid w:val="004C09E6"/>
    <w:rsid w:val="004C0AE3"/>
    <w:rsid w:val="004C1B17"/>
    <w:rsid w:val="004C49F9"/>
    <w:rsid w:val="004D1037"/>
    <w:rsid w:val="004E1FE6"/>
    <w:rsid w:val="004E39AA"/>
    <w:rsid w:val="004E6194"/>
    <w:rsid w:val="004F017A"/>
    <w:rsid w:val="004F06C5"/>
    <w:rsid w:val="004F0904"/>
    <w:rsid w:val="004F18DD"/>
    <w:rsid w:val="004F1C2C"/>
    <w:rsid w:val="004F1CC2"/>
    <w:rsid w:val="004F323B"/>
    <w:rsid w:val="004F42EB"/>
    <w:rsid w:val="004F49A6"/>
    <w:rsid w:val="004F4D39"/>
    <w:rsid w:val="004F508C"/>
    <w:rsid w:val="004F6F08"/>
    <w:rsid w:val="00500DBC"/>
    <w:rsid w:val="00504355"/>
    <w:rsid w:val="005065B6"/>
    <w:rsid w:val="005077A6"/>
    <w:rsid w:val="0051065D"/>
    <w:rsid w:val="00511AA6"/>
    <w:rsid w:val="005123D1"/>
    <w:rsid w:val="00513799"/>
    <w:rsid w:val="00515B87"/>
    <w:rsid w:val="00517991"/>
    <w:rsid w:val="00521DAA"/>
    <w:rsid w:val="00522708"/>
    <w:rsid w:val="00524B66"/>
    <w:rsid w:val="00527D4C"/>
    <w:rsid w:val="005306B2"/>
    <w:rsid w:val="00531584"/>
    <w:rsid w:val="00532423"/>
    <w:rsid w:val="005335FD"/>
    <w:rsid w:val="0053767B"/>
    <w:rsid w:val="00541FA8"/>
    <w:rsid w:val="00542F0C"/>
    <w:rsid w:val="00545218"/>
    <w:rsid w:val="005458D9"/>
    <w:rsid w:val="00546B73"/>
    <w:rsid w:val="00547EC3"/>
    <w:rsid w:val="005522EA"/>
    <w:rsid w:val="00553A0D"/>
    <w:rsid w:val="00563489"/>
    <w:rsid w:val="005676A1"/>
    <w:rsid w:val="00570B56"/>
    <w:rsid w:val="00571AFE"/>
    <w:rsid w:val="00572EB4"/>
    <w:rsid w:val="00572F38"/>
    <w:rsid w:val="00573D45"/>
    <w:rsid w:val="00575BF4"/>
    <w:rsid w:val="00580816"/>
    <w:rsid w:val="00581663"/>
    <w:rsid w:val="00581DA4"/>
    <w:rsid w:val="0058323D"/>
    <w:rsid w:val="00590DDA"/>
    <w:rsid w:val="00593EAA"/>
    <w:rsid w:val="00596920"/>
    <w:rsid w:val="005A07DB"/>
    <w:rsid w:val="005A1572"/>
    <w:rsid w:val="005B4A47"/>
    <w:rsid w:val="005B7EA2"/>
    <w:rsid w:val="005C2091"/>
    <w:rsid w:val="005C2C4E"/>
    <w:rsid w:val="005C3209"/>
    <w:rsid w:val="005C3B78"/>
    <w:rsid w:val="005C6619"/>
    <w:rsid w:val="005D280D"/>
    <w:rsid w:val="005D45EB"/>
    <w:rsid w:val="005D606D"/>
    <w:rsid w:val="005D612B"/>
    <w:rsid w:val="005E0016"/>
    <w:rsid w:val="005E08A7"/>
    <w:rsid w:val="005E3C59"/>
    <w:rsid w:val="005E4283"/>
    <w:rsid w:val="005F0D0E"/>
    <w:rsid w:val="005F173E"/>
    <w:rsid w:val="005F213D"/>
    <w:rsid w:val="00603BCC"/>
    <w:rsid w:val="00604D56"/>
    <w:rsid w:val="0060574D"/>
    <w:rsid w:val="00610790"/>
    <w:rsid w:val="00615B64"/>
    <w:rsid w:val="00615BB9"/>
    <w:rsid w:val="00620E4A"/>
    <w:rsid w:val="00623985"/>
    <w:rsid w:val="00631D56"/>
    <w:rsid w:val="00632B07"/>
    <w:rsid w:val="00635248"/>
    <w:rsid w:val="006356D1"/>
    <w:rsid w:val="00635EFC"/>
    <w:rsid w:val="00640C7B"/>
    <w:rsid w:val="006440F7"/>
    <w:rsid w:val="0064537E"/>
    <w:rsid w:val="00646007"/>
    <w:rsid w:val="00646600"/>
    <w:rsid w:val="00646ECB"/>
    <w:rsid w:val="00652ABE"/>
    <w:rsid w:val="00654208"/>
    <w:rsid w:val="00657495"/>
    <w:rsid w:val="00657F42"/>
    <w:rsid w:val="0066014A"/>
    <w:rsid w:val="00666641"/>
    <w:rsid w:val="00667004"/>
    <w:rsid w:val="00670CDD"/>
    <w:rsid w:val="00671643"/>
    <w:rsid w:val="0067181E"/>
    <w:rsid w:val="00672785"/>
    <w:rsid w:val="00672F0B"/>
    <w:rsid w:val="00675ED2"/>
    <w:rsid w:val="00680A79"/>
    <w:rsid w:val="0068415F"/>
    <w:rsid w:val="00686A3C"/>
    <w:rsid w:val="0069227A"/>
    <w:rsid w:val="00694442"/>
    <w:rsid w:val="006971E3"/>
    <w:rsid w:val="006A2BB5"/>
    <w:rsid w:val="006A4645"/>
    <w:rsid w:val="006A4C25"/>
    <w:rsid w:val="006B106A"/>
    <w:rsid w:val="006B291D"/>
    <w:rsid w:val="006B5040"/>
    <w:rsid w:val="006B582B"/>
    <w:rsid w:val="006C1B61"/>
    <w:rsid w:val="006C1D8B"/>
    <w:rsid w:val="006C2A12"/>
    <w:rsid w:val="006C42F6"/>
    <w:rsid w:val="006C4309"/>
    <w:rsid w:val="006C4404"/>
    <w:rsid w:val="006D18DA"/>
    <w:rsid w:val="006D1FD3"/>
    <w:rsid w:val="006D2E21"/>
    <w:rsid w:val="006D3451"/>
    <w:rsid w:val="006D3F17"/>
    <w:rsid w:val="006D6103"/>
    <w:rsid w:val="006D6B2E"/>
    <w:rsid w:val="006E2D15"/>
    <w:rsid w:val="006E528E"/>
    <w:rsid w:val="006E5452"/>
    <w:rsid w:val="006E5EAA"/>
    <w:rsid w:val="006E7EB0"/>
    <w:rsid w:val="006F21EB"/>
    <w:rsid w:val="006F37CE"/>
    <w:rsid w:val="006F6E35"/>
    <w:rsid w:val="00701241"/>
    <w:rsid w:val="00703EA2"/>
    <w:rsid w:val="007044B0"/>
    <w:rsid w:val="007059C1"/>
    <w:rsid w:val="007073E2"/>
    <w:rsid w:val="00715964"/>
    <w:rsid w:val="007159C3"/>
    <w:rsid w:val="00720CD9"/>
    <w:rsid w:val="00723994"/>
    <w:rsid w:val="00724834"/>
    <w:rsid w:val="00725F17"/>
    <w:rsid w:val="00726760"/>
    <w:rsid w:val="007277DB"/>
    <w:rsid w:val="00730C77"/>
    <w:rsid w:val="0073157E"/>
    <w:rsid w:val="00732BED"/>
    <w:rsid w:val="00744333"/>
    <w:rsid w:val="0074603C"/>
    <w:rsid w:val="00750D35"/>
    <w:rsid w:val="007512FD"/>
    <w:rsid w:val="00753133"/>
    <w:rsid w:val="00757B51"/>
    <w:rsid w:val="007610E5"/>
    <w:rsid w:val="007618AB"/>
    <w:rsid w:val="007618DC"/>
    <w:rsid w:val="007633FC"/>
    <w:rsid w:val="00770C17"/>
    <w:rsid w:val="007717CC"/>
    <w:rsid w:val="00771E1E"/>
    <w:rsid w:val="007749E5"/>
    <w:rsid w:val="00776AC8"/>
    <w:rsid w:val="00782D1A"/>
    <w:rsid w:val="00786DBB"/>
    <w:rsid w:val="00791A55"/>
    <w:rsid w:val="007933A9"/>
    <w:rsid w:val="007945E1"/>
    <w:rsid w:val="007971A5"/>
    <w:rsid w:val="007A0294"/>
    <w:rsid w:val="007A04F6"/>
    <w:rsid w:val="007A1625"/>
    <w:rsid w:val="007A5EEF"/>
    <w:rsid w:val="007A6006"/>
    <w:rsid w:val="007B7203"/>
    <w:rsid w:val="007C26DC"/>
    <w:rsid w:val="007C3517"/>
    <w:rsid w:val="007D16CC"/>
    <w:rsid w:val="007D33D8"/>
    <w:rsid w:val="007D773B"/>
    <w:rsid w:val="007E2628"/>
    <w:rsid w:val="007E5A1F"/>
    <w:rsid w:val="007E61EC"/>
    <w:rsid w:val="007F238B"/>
    <w:rsid w:val="007F5F06"/>
    <w:rsid w:val="00802BC8"/>
    <w:rsid w:val="00807B34"/>
    <w:rsid w:val="008115F6"/>
    <w:rsid w:val="00813434"/>
    <w:rsid w:val="00814FBA"/>
    <w:rsid w:val="00816993"/>
    <w:rsid w:val="00822FAC"/>
    <w:rsid w:val="008232F0"/>
    <w:rsid w:val="00824013"/>
    <w:rsid w:val="0082618F"/>
    <w:rsid w:val="00826CED"/>
    <w:rsid w:val="00830E28"/>
    <w:rsid w:val="00832D17"/>
    <w:rsid w:val="0083326B"/>
    <w:rsid w:val="0083575A"/>
    <w:rsid w:val="00844DD4"/>
    <w:rsid w:val="0084557C"/>
    <w:rsid w:val="00850BBA"/>
    <w:rsid w:val="00851D98"/>
    <w:rsid w:val="0085318A"/>
    <w:rsid w:val="00853A20"/>
    <w:rsid w:val="00855B85"/>
    <w:rsid w:val="0086211F"/>
    <w:rsid w:val="00863F23"/>
    <w:rsid w:val="008644B2"/>
    <w:rsid w:val="0086500E"/>
    <w:rsid w:val="00871D70"/>
    <w:rsid w:val="008727E4"/>
    <w:rsid w:val="00876D93"/>
    <w:rsid w:val="00881195"/>
    <w:rsid w:val="00883C8A"/>
    <w:rsid w:val="008863AD"/>
    <w:rsid w:val="0088792F"/>
    <w:rsid w:val="00897641"/>
    <w:rsid w:val="008A1A37"/>
    <w:rsid w:val="008A26E4"/>
    <w:rsid w:val="008A3C42"/>
    <w:rsid w:val="008B69F6"/>
    <w:rsid w:val="008D115A"/>
    <w:rsid w:val="008D63B5"/>
    <w:rsid w:val="008D73B7"/>
    <w:rsid w:val="008D789A"/>
    <w:rsid w:val="008E3B4A"/>
    <w:rsid w:val="008E44CE"/>
    <w:rsid w:val="008E53F0"/>
    <w:rsid w:val="008E7D73"/>
    <w:rsid w:val="008F0F06"/>
    <w:rsid w:val="008F17DE"/>
    <w:rsid w:val="008F197E"/>
    <w:rsid w:val="008F513B"/>
    <w:rsid w:val="008F6DA8"/>
    <w:rsid w:val="00900F73"/>
    <w:rsid w:val="009014EB"/>
    <w:rsid w:val="00901DA8"/>
    <w:rsid w:val="00904623"/>
    <w:rsid w:val="00906338"/>
    <w:rsid w:val="009064CC"/>
    <w:rsid w:val="00910152"/>
    <w:rsid w:val="009119A0"/>
    <w:rsid w:val="0091237A"/>
    <w:rsid w:val="009124DF"/>
    <w:rsid w:val="00912ED4"/>
    <w:rsid w:val="00913113"/>
    <w:rsid w:val="00915B7D"/>
    <w:rsid w:val="00915D7A"/>
    <w:rsid w:val="00916022"/>
    <w:rsid w:val="009231B0"/>
    <w:rsid w:val="00930954"/>
    <w:rsid w:val="0093207A"/>
    <w:rsid w:val="00937CF6"/>
    <w:rsid w:val="009505C1"/>
    <w:rsid w:val="00952029"/>
    <w:rsid w:val="009522C4"/>
    <w:rsid w:val="0095527E"/>
    <w:rsid w:val="00956323"/>
    <w:rsid w:val="00956671"/>
    <w:rsid w:val="00961494"/>
    <w:rsid w:val="00961C5F"/>
    <w:rsid w:val="009654D0"/>
    <w:rsid w:val="009661EC"/>
    <w:rsid w:val="00966851"/>
    <w:rsid w:val="00966A78"/>
    <w:rsid w:val="00967B8A"/>
    <w:rsid w:val="00970BC9"/>
    <w:rsid w:val="00971807"/>
    <w:rsid w:val="00971986"/>
    <w:rsid w:val="0097691C"/>
    <w:rsid w:val="00977588"/>
    <w:rsid w:val="00982F9B"/>
    <w:rsid w:val="00983742"/>
    <w:rsid w:val="00987D06"/>
    <w:rsid w:val="00995A22"/>
    <w:rsid w:val="00995F82"/>
    <w:rsid w:val="00997D9F"/>
    <w:rsid w:val="009B5197"/>
    <w:rsid w:val="009C17AF"/>
    <w:rsid w:val="009C2620"/>
    <w:rsid w:val="009C5F05"/>
    <w:rsid w:val="009C7529"/>
    <w:rsid w:val="009D2C73"/>
    <w:rsid w:val="009D4970"/>
    <w:rsid w:val="009D6385"/>
    <w:rsid w:val="009D73AA"/>
    <w:rsid w:val="009E2857"/>
    <w:rsid w:val="009E3D33"/>
    <w:rsid w:val="009E4365"/>
    <w:rsid w:val="009E6F39"/>
    <w:rsid w:val="009F0F28"/>
    <w:rsid w:val="009F1519"/>
    <w:rsid w:val="009F5142"/>
    <w:rsid w:val="00A00AC5"/>
    <w:rsid w:val="00A069DA"/>
    <w:rsid w:val="00A07526"/>
    <w:rsid w:val="00A10E46"/>
    <w:rsid w:val="00A21CE6"/>
    <w:rsid w:val="00A26382"/>
    <w:rsid w:val="00A26BEF"/>
    <w:rsid w:val="00A2787A"/>
    <w:rsid w:val="00A32CD1"/>
    <w:rsid w:val="00A34EDB"/>
    <w:rsid w:val="00A366EA"/>
    <w:rsid w:val="00A36DBA"/>
    <w:rsid w:val="00A36E7F"/>
    <w:rsid w:val="00A37C1F"/>
    <w:rsid w:val="00A41F04"/>
    <w:rsid w:val="00A42A2E"/>
    <w:rsid w:val="00A42A42"/>
    <w:rsid w:val="00A44CC2"/>
    <w:rsid w:val="00A46760"/>
    <w:rsid w:val="00A551BB"/>
    <w:rsid w:val="00A5532F"/>
    <w:rsid w:val="00A558E2"/>
    <w:rsid w:val="00A574B0"/>
    <w:rsid w:val="00A60D9C"/>
    <w:rsid w:val="00A66140"/>
    <w:rsid w:val="00A67CE9"/>
    <w:rsid w:val="00A71BA6"/>
    <w:rsid w:val="00A75F00"/>
    <w:rsid w:val="00A7616C"/>
    <w:rsid w:val="00A7630A"/>
    <w:rsid w:val="00A7677D"/>
    <w:rsid w:val="00A775C0"/>
    <w:rsid w:val="00A806ED"/>
    <w:rsid w:val="00A81DBB"/>
    <w:rsid w:val="00A81FA7"/>
    <w:rsid w:val="00A847C0"/>
    <w:rsid w:val="00A866CD"/>
    <w:rsid w:val="00A87173"/>
    <w:rsid w:val="00A8797E"/>
    <w:rsid w:val="00A91FED"/>
    <w:rsid w:val="00A92593"/>
    <w:rsid w:val="00A92B1C"/>
    <w:rsid w:val="00A95724"/>
    <w:rsid w:val="00A97AFE"/>
    <w:rsid w:val="00AA1465"/>
    <w:rsid w:val="00AA53E3"/>
    <w:rsid w:val="00AA6536"/>
    <w:rsid w:val="00AA733D"/>
    <w:rsid w:val="00AB14A1"/>
    <w:rsid w:val="00AB2D5B"/>
    <w:rsid w:val="00AB3A6B"/>
    <w:rsid w:val="00AB4A3F"/>
    <w:rsid w:val="00AB538D"/>
    <w:rsid w:val="00AB5A76"/>
    <w:rsid w:val="00AB6E1A"/>
    <w:rsid w:val="00AB716E"/>
    <w:rsid w:val="00AC11B2"/>
    <w:rsid w:val="00AC6207"/>
    <w:rsid w:val="00AC6D2A"/>
    <w:rsid w:val="00AC6F32"/>
    <w:rsid w:val="00AC7949"/>
    <w:rsid w:val="00AD1F52"/>
    <w:rsid w:val="00AD3940"/>
    <w:rsid w:val="00AD7AA7"/>
    <w:rsid w:val="00AE0E6E"/>
    <w:rsid w:val="00AE477F"/>
    <w:rsid w:val="00AE4DC0"/>
    <w:rsid w:val="00AE5714"/>
    <w:rsid w:val="00AE58CA"/>
    <w:rsid w:val="00AE5B59"/>
    <w:rsid w:val="00AE626A"/>
    <w:rsid w:val="00AE7D92"/>
    <w:rsid w:val="00B03AD5"/>
    <w:rsid w:val="00B07386"/>
    <w:rsid w:val="00B12B70"/>
    <w:rsid w:val="00B13AC2"/>
    <w:rsid w:val="00B13F37"/>
    <w:rsid w:val="00B17E01"/>
    <w:rsid w:val="00B208D6"/>
    <w:rsid w:val="00B2257F"/>
    <w:rsid w:val="00B23813"/>
    <w:rsid w:val="00B260DB"/>
    <w:rsid w:val="00B33DC2"/>
    <w:rsid w:val="00B45FF6"/>
    <w:rsid w:val="00B46784"/>
    <w:rsid w:val="00B54474"/>
    <w:rsid w:val="00B54A7C"/>
    <w:rsid w:val="00B55575"/>
    <w:rsid w:val="00B55C44"/>
    <w:rsid w:val="00B5790B"/>
    <w:rsid w:val="00B6199F"/>
    <w:rsid w:val="00B61D3B"/>
    <w:rsid w:val="00B64D8E"/>
    <w:rsid w:val="00B65911"/>
    <w:rsid w:val="00B70BA2"/>
    <w:rsid w:val="00B72746"/>
    <w:rsid w:val="00B73938"/>
    <w:rsid w:val="00B763B5"/>
    <w:rsid w:val="00B763CF"/>
    <w:rsid w:val="00B80E71"/>
    <w:rsid w:val="00B878EE"/>
    <w:rsid w:val="00B92557"/>
    <w:rsid w:val="00B93DB1"/>
    <w:rsid w:val="00B942BF"/>
    <w:rsid w:val="00B975DA"/>
    <w:rsid w:val="00BA0F8C"/>
    <w:rsid w:val="00BA3360"/>
    <w:rsid w:val="00BA4B4E"/>
    <w:rsid w:val="00BB3678"/>
    <w:rsid w:val="00BC00F0"/>
    <w:rsid w:val="00BC0CAB"/>
    <w:rsid w:val="00BC531C"/>
    <w:rsid w:val="00BD3C08"/>
    <w:rsid w:val="00BD421A"/>
    <w:rsid w:val="00BD5781"/>
    <w:rsid w:val="00BD584B"/>
    <w:rsid w:val="00BE0DA5"/>
    <w:rsid w:val="00BE2644"/>
    <w:rsid w:val="00BE3D0C"/>
    <w:rsid w:val="00BE3F37"/>
    <w:rsid w:val="00BF3C55"/>
    <w:rsid w:val="00BF62FF"/>
    <w:rsid w:val="00C03B10"/>
    <w:rsid w:val="00C04379"/>
    <w:rsid w:val="00C04E4C"/>
    <w:rsid w:val="00C0672D"/>
    <w:rsid w:val="00C104EB"/>
    <w:rsid w:val="00C15851"/>
    <w:rsid w:val="00C15B93"/>
    <w:rsid w:val="00C17130"/>
    <w:rsid w:val="00C17158"/>
    <w:rsid w:val="00C17310"/>
    <w:rsid w:val="00C2093F"/>
    <w:rsid w:val="00C24DEF"/>
    <w:rsid w:val="00C25517"/>
    <w:rsid w:val="00C27F49"/>
    <w:rsid w:val="00C321E0"/>
    <w:rsid w:val="00C3252F"/>
    <w:rsid w:val="00C33EBA"/>
    <w:rsid w:val="00C42772"/>
    <w:rsid w:val="00C42B72"/>
    <w:rsid w:val="00C44D64"/>
    <w:rsid w:val="00C4658C"/>
    <w:rsid w:val="00C46DA4"/>
    <w:rsid w:val="00C54AEA"/>
    <w:rsid w:val="00C55999"/>
    <w:rsid w:val="00C56103"/>
    <w:rsid w:val="00C57E1A"/>
    <w:rsid w:val="00C600CB"/>
    <w:rsid w:val="00C62AF8"/>
    <w:rsid w:val="00C62EB2"/>
    <w:rsid w:val="00C64EC0"/>
    <w:rsid w:val="00C6504F"/>
    <w:rsid w:val="00C7191A"/>
    <w:rsid w:val="00C71CC1"/>
    <w:rsid w:val="00C73896"/>
    <w:rsid w:val="00C8581D"/>
    <w:rsid w:val="00C85EAA"/>
    <w:rsid w:val="00C8651E"/>
    <w:rsid w:val="00C92495"/>
    <w:rsid w:val="00C93DA5"/>
    <w:rsid w:val="00CA35CB"/>
    <w:rsid w:val="00CA3BF1"/>
    <w:rsid w:val="00CA4F6E"/>
    <w:rsid w:val="00CA789A"/>
    <w:rsid w:val="00CB0599"/>
    <w:rsid w:val="00CB6577"/>
    <w:rsid w:val="00CC0A45"/>
    <w:rsid w:val="00CC2BF8"/>
    <w:rsid w:val="00CC6B2A"/>
    <w:rsid w:val="00CD249D"/>
    <w:rsid w:val="00CD3346"/>
    <w:rsid w:val="00CD3902"/>
    <w:rsid w:val="00CD5CE9"/>
    <w:rsid w:val="00CD6536"/>
    <w:rsid w:val="00CD712A"/>
    <w:rsid w:val="00CE04B9"/>
    <w:rsid w:val="00CE29FE"/>
    <w:rsid w:val="00CE4657"/>
    <w:rsid w:val="00CE53DF"/>
    <w:rsid w:val="00CE6DFE"/>
    <w:rsid w:val="00CF45B9"/>
    <w:rsid w:val="00D01049"/>
    <w:rsid w:val="00D012D2"/>
    <w:rsid w:val="00D01FEC"/>
    <w:rsid w:val="00D06581"/>
    <w:rsid w:val="00D17F24"/>
    <w:rsid w:val="00D200C7"/>
    <w:rsid w:val="00D20561"/>
    <w:rsid w:val="00D21F33"/>
    <w:rsid w:val="00D23662"/>
    <w:rsid w:val="00D24DFE"/>
    <w:rsid w:val="00D27C2B"/>
    <w:rsid w:val="00D37A5F"/>
    <w:rsid w:val="00D41094"/>
    <w:rsid w:val="00D47906"/>
    <w:rsid w:val="00D54365"/>
    <w:rsid w:val="00D564EB"/>
    <w:rsid w:val="00D60AD9"/>
    <w:rsid w:val="00D60CFD"/>
    <w:rsid w:val="00D61C62"/>
    <w:rsid w:val="00D62205"/>
    <w:rsid w:val="00D6388F"/>
    <w:rsid w:val="00D64914"/>
    <w:rsid w:val="00D71983"/>
    <w:rsid w:val="00D7207E"/>
    <w:rsid w:val="00D7237C"/>
    <w:rsid w:val="00D72A4D"/>
    <w:rsid w:val="00D73069"/>
    <w:rsid w:val="00D74D45"/>
    <w:rsid w:val="00D7724B"/>
    <w:rsid w:val="00D774A9"/>
    <w:rsid w:val="00D82ACC"/>
    <w:rsid w:val="00D832EE"/>
    <w:rsid w:val="00D855DA"/>
    <w:rsid w:val="00D91D77"/>
    <w:rsid w:val="00D93D82"/>
    <w:rsid w:val="00D96B55"/>
    <w:rsid w:val="00DA3F94"/>
    <w:rsid w:val="00DA415F"/>
    <w:rsid w:val="00DA6547"/>
    <w:rsid w:val="00DA7C8B"/>
    <w:rsid w:val="00DB272D"/>
    <w:rsid w:val="00DB625F"/>
    <w:rsid w:val="00DC3BEC"/>
    <w:rsid w:val="00DC3E49"/>
    <w:rsid w:val="00DC5712"/>
    <w:rsid w:val="00DC61C3"/>
    <w:rsid w:val="00DC7EF9"/>
    <w:rsid w:val="00DD39AA"/>
    <w:rsid w:val="00DD3D41"/>
    <w:rsid w:val="00DD51C7"/>
    <w:rsid w:val="00DD690C"/>
    <w:rsid w:val="00DD7065"/>
    <w:rsid w:val="00DD70CE"/>
    <w:rsid w:val="00DD7CFE"/>
    <w:rsid w:val="00DE10EC"/>
    <w:rsid w:val="00DE113B"/>
    <w:rsid w:val="00DE1DC2"/>
    <w:rsid w:val="00DE28D5"/>
    <w:rsid w:val="00DE4078"/>
    <w:rsid w:val="00DE6DE9"/>
    <w:rsid w:val="00DE72C1"/>
    <w:rsid w:val="00DE762A"/>
    <w:rsid w:val="00DF054C"/>
    <w:rsid w:val="00DF1503"/>
    <w:rsid w:val="00DF4990"/>
    <w:rsid w:val="00DF53F8"/>
    <w:rsid w:val="00DF5858"/>
    <w:rsid w:val="00DF5BF3"/>
    <w:rsid w:val="00DF7073"/>
    <w:rsid w:val="00DF7C5E"/>
    <w:rsid w:val="00E00FD7"/>
    <w:rsid w:val="00E014B8"/>
    <w:rsid w:val="00E0612F"/>
    <w:rsid w:val="00E06DE3"/>
    <w:rsid w:val="00E10481"/>
    <w:rsid w:val="00E1093A"/>
    <w:rsid w:val="00E117F4"/>
    <w:rsid w:val="00E13772"/>
    <w:rsid w:val="00E13E76"/>
    <w:rsid w:val="00E16205"/>
    <w:rsid w:val="00E17CDA"/>
    <w:rsid w:val="00E2220A"/>
    <w:rsid w:val="00E2528D"/>
    <w:rsid w:val="00E272CB"/>
    <w:rsid w:val="00E300F4"/>
    <w:rsid w:val="00E31CA8"/>
    <w:rsid w:val="00E35EF4"/>
    <w:rsid w:val="00E37AE8"/>
    <w:rsid w:val="00E4351D"/>
    <w:rsid w:val="00E46943"/>
    <w:rsid w:val="00E54A94"/>
    <w:rsid w:val="00E62203"/>
    <w:rsid w:val="00E6687F"/>
    <w:rsid w:val="00E67D19"/>
    <w:rsid w:val="00E70023"/>
    <w:rsid w:val="00E71C6F"/>
    <w:rsid w:val="00E74636"/>
    <w:rsid w:val="00E75FDD"/>
    <w:rsid w:val="00E80B9A"/>
    <w:rsid w:val="00E80C62"/>
    <w:rsid w:val="00E84233"/>
    <w:rsid w:val="00E8437F"/>
    <w:rsid w:val="00E85586"/>
    <w:rsid w:val="00E86FDE"/>
    <w:rsid w:val="00E94782"/>
    <w:rsid w:val="00E94AB4"/>
    <w:rsid w:val="00E95AD1"/>
    <w:rsid w:val="00E977A6"/>
    <w:rsid w:val="00EA1E33"/>
    <w:rsid w:val="00EA5710"/>
    <w:rsid w:val="00EA5E6D"/>
    <w:rsid w:val="00EA5F59"/>
    <w:rsid w:val="00EA6E05"/>
    <w:rsid w:val="00EB35C3"/>
    <w:rsid w:val="00EB7DA4"/>
    <w:rsid w:val="00EC486E"/>
    <w:rsid w:val="00EC4D07"/>
    <w:rsid w:val="00EC5870"/>
    <w:rsid w:val="00ED096F"/>
    <w:rsid w:val="00EE1472"/>
    <w:rsid w:val="00EE29EB"/>
    <w:rsid w:val="00EE4223"/>
    <w:rsid w:val="00EE43F3"/>
    <w:rsid w:val="00EF01C7"/>
    <w:rsid w:val="00EF4390"/>
    <w:rsid w:val="00EF583F"/>
    <w:rsid w:val="00EF63BE"/>
    <w:rsid w:val="00EF7C12"/>
    <w:rsid w:val="00F00857"/>
    <w:rsid w:val="00F00B48"/>
    <w:rsid w:val="00F11AA9"/>
    <w:rsid w:val="00F12A5C"/>
    <w:rsid w:val="00F133AC"/>
    <w:rsid w:val="00F1750B"/>
    <w:rsid w:val="00F21DBB"/>
    <w:rsid w:val="00F22914"/>
    <w:rsid w:val="00F22C21"/>
    <w:rsid w:val="00F23210"/>
    <w:rsid w:val="00F27A9E"/>
    <w:rsid w:val="00F32075"/>
    <w:rsid w:val="00F42A8F"/>
    <w:rsid w:val="00F46787"/>
    <w:rsid w:val="00F46B26"/>
    <w:rsid w:val="00F47001"/>
    <w:rsid w:val="00F50066"/>
    <w:rsid w:val="00F52C4D"/>
    <w:rsid w:val="00F609AC"/>
    <w:rsid w:val="00F63FEB"/>
    <w:rsid w:val="00F64E4B"/>
    <w:rsid w:val="00F67982"/>
    <w:rsid w:val="00F74D1F"/>
    <w:rsid w:val="00F75C4E"/>
    <w:rsid w:val="00F7654F"/>
    <w:rsid w:val="00F77FB5"/>
    <w:rsid w:val="00F807DE"/>
    <w:rsid w:val="00F81328"/>
    <w:rsid w:val="00F8187E"/>
    <w:rsid w:val="00F82C57"/>
    <w:rsid w:val="00F840E7"/>
    <w:rsid w:val="00F85DB1"/>
    <w:rsid w:val="00F877F6"/>
    <w:rsid w:val="00F90E42"/>
    <w:rsid w:val="00F918DC"/>
    <w:rsid w:val="00F95BAF"/>
    <w:rsid w:val="00F97E8F"/>
    <w:rsid w:val="00FA34C2"/>
    <w:rsid w:val="00FA56B2"/>
    <w:rsid w:val="00FA67B4"/>
    <w:rsid w:val="00FB2094"/>
    <w:rsid w:val="00FB2CEB"/>
    <w:rsid w:val="00FB4AAA"/>
    <w:rsid w:val="00FC57C3"/>
    <w:rsid w:val="00FD236F"/>
    <w:rsid w:val="00FD2FC9"/>
    <w:rsid w:val="00FD3EEC"/>
    <w:rsid w:val="00FD4D65"/>
    <w:rsid w:val="00FD6BDA"/>
    <w:rsid w:val="00FD77AE"/>
    <w:rsid w:val="00FE1AE4"/>
    <w:rsid w:val="00FE43E7"/>
    <w:rsid w:val="00FE4FC9"/>
    <w:rsid w:val="00FE5B7C"/>
    <w:rsid w:val="00FE62B5"/>
    <w:rsid w:val="00FF072E"/>
    <w:rsid w:val="00FF233E"/>
    <w:rsid w:val="00FF2D91"/>
    <w:rsid w:val="00FF3273"/>
    <w:rsid w:val="00FF3DA9"/>
    <w:rsid w:val="00FF5084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#f90" strokecolor="#f60">
      <v:fill color="#f90"/>
      <v:stroke color="#f60" weight=".9pt"/>
      <o:colormru v:ext="edit" colors="#ddd,#3c3,#36c"/>
    </o:shapedefaults>
    <o:shapelayout v:ext="edit">
      <o:idmap v:ext="edit" data="1"/>
    </o:shapelayout>
  </w:shapeDefaults>
  <w:decimalSymbol w:val=","/>
  <w:listSeparator w:val=";"/>
  <w14:docId w14:val="42A50967"/>
  <w15:docId w15:val="{21B82E7B-0A70-4D0E-87AA-5945DC9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101"/>
    <w:pPr>
      <w:suppressAutoHyphens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3101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013101"/>
    <w:pPr>
      <w:keepNext/>
      <w:ind w:firstLine="708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0131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3101"/>
    <w:pPr>
      <w:keepNext/>
      <w:suppressAutoHyphens w:val="0"/>
      <w:jc w:val="left"/>
      <w:outlineLvl w:val="3"/>
    </w:pPr>
    <w:rPr>
      <w:rFonts w:ascii="Monotype Corsiva" w:hAnsi="Monotype Corsiva"/>
      <w:b/>
      <w:bCs/>
      <w:sz w:val="24"/>
      <w:u w:val="single"/>
      <w:lang w:val="es-ES" w:eastAsia="es-ES"/>
    </w:rPr>
  </w:style>
  <w:style w:type="paragraph" w:styleId="Ttulo5">
    <w:name w:val="heading 5"/>
    <w:basedOn w:val="Normal"/>
    <w:next w:val="Normal"/>
    <w:qFormat/>
    <w:rsid w:val="00013101"/>
    <w:pPr>
      <w:keepNext/>
      <w:ind w:left="5580"/>
      <w:outlineLvl w:val="4"/>
    </w:pPr>
    <w:rPr>
      <w:rFonts w:cs="Arial"/>
      <w:b/>
      <w:bCs/>
      <w:sz w:val="24"/>
    </w:rPr>
  </w:style>
  <w:style w:type="paragraph" w:styleId="Ttulo6">
    <w:name w:val="heading 6"/>
    <w:basedOn w:val="Normal"/>
    <w:next w:val="Normal"/>
    <w:qFormat/>
    <w:rsid w:val="00013101"/>
    <w:pPr>
      <w:keepNext/>
      <w:outlineLvl w:val="5"/>
    </w:pPr>
    <w:rPr>
      <w:rFonts w:cs="Arial"/>
      <w:b/>
      <w:bCs/>
      <w:i/>
      <w:iCs/>
    </w:rPr>
  </w:style>
  <w:style w:type="paragraph" w:styleId="Ttulo7">
    <w:name w:val="heading 7"/>
    <w:basedOn w:val="Normal"/>
    <w:next w:val="Normal"/>
    <w:qFormat/>
    <w:rsid w:val="00013101"/>
    <w:pPr>
      <w:keepNext/>
      <w:suppressAutoHyphens w:val="0"/>
      <w:ind w:left="5664"/>
      <w:jc w:val="left"/>
      <w:outlineLvl w:val="6"/>
    </w:pPr>
    <w:rPr>
      <w:rFonts w:ascii="Monotype Corsiva" w:hAnsi="Monotype Corsiva"/>
      <w:b/>
      <w:sz w:val="24"/>
      <w:lang w:val="es-ES" w:eastAsia="es-ES"/>
    </w:rPr>
  </w:style>
  <w:style w:type="paragraph" w:styleId="Ttulo8">
    <w:name w:val="heading 8"/>
    <w:basedOn w:val="Normal"/>
    <w:next w:val="Normal"/>
    <w:qFormat/>
    <w:rsid w:val="00013101"/>
    <w:pPr>
      <w:keepNext/>
      <w:outlineLvl w:val="7"/>
    </w:pPr>
    <w:rPr>
      <w:rFonts w:cs="Arial"/>
      <w:b/>
      <w:bCs/>
      <w:u w:val="single"/>
    </w:rPr>
  </w:style>
  <w:style w:type="paragraph" w:styleId="Ttulo9">
    <w:name w:val="heading 9"/>
    <w:basedOn w:val="Normal"/>
    <w:next w:val="Normal"/>
    <w:qFormat/>
    <w:rsid w:val="00013101"/>
    <w:pPr>
      <w:keepNext/>
      <w:tabs>
        <w:tab w:val="left" w:pos="770"/>
        <w:tab w:val="left" w:pos="1430"/>
      </w:tabs>
      <w:ind w:left="2127" w:hanging="2127"/>
      <w:outlineLvl w:val="8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131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13101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013101"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rsid w:val="00013101"/>
    <w:pPr>
      <w:suppressAutoHyphens w:val="0"/>
      <w:spacing w:line="360" w:lineRule="auto"/>
      <w:ind w:firstLine="1416"/>
    </w:pPr>
    <w:rPr>
      <w:rFonts w:ascii="Monotype Corsiva" w:hAnsi="Monotype Corsiva"/>
      <w:sz w:val="24"/>
      <w:lang w:val="es-ES" w:eastAsia="es-ES"/>
    </w:rPr>
  </w:style>
  <w:style w:type="paragraph" w:styleId="Encabezado">
    <w:name w:val="header"/>
    <w:basedOn w:val="Normal"/>
    <w:rsid w:val="000131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13101"/>
    <w:pPr>
      <w:tabs>
        <w:tab w:val="center" w:pos="4252"/>
        <w:tab w:val="right" w:pos="8504"/>
      </w:tabs>
    </w:pPr>
  </w:style>
  <w:style w:type="character" w:styleId="Hipervnculo">
    <w:name w:val="Hyperlink"/>
    <w:rsid w:val="00013101"/>
    <w:rPr>
      <w:color w:val="0000FF"/>
      <w:u w:val="single"/>
    </w:rPr>
  </w:style>
  <w:style w:type="paragraph" w:styleId="Sangra2detindependiente">
    <w:name w:val="Body Text Indent 2"/>
    <w:basedOn w:val="Normal"/>
    <w:rsid w:val="00013101"/>
    <w:pPr>
      <w:ind w:firstLine="708"/>
    </w:pPr>
    <w:rPr>
      <w:rFonts w:cs="Arial"/>
    </w:rPr>
  </w:style>
  <w:style w:type="paragraph" w:styleId="Sangra3detindependiente">
    <w:name w:val="Body Text Indent 3"/>
    <w:basedOn w:val="Normal"/>
    <w:rsid w:val="00013101"/>
    <w:pPr>
      <w:spacing w:line="360" w:lineRule="auto"/>
      <w:ind w:right="459" w:firstLine="708"/>
    </w:pPr>
    <w:rPr>
      <w:rFonts w:cs="Arial"/>
      <w:szCs w:val="24"/>
    </w:rPr>
  </w:style>
  <w:style w:type="character" w:styleId="Nmerodepgina">
    <w:name w:val="page number"/>
    <w:basedOn w:val="Fuentedeprrafopredeter"/>
    <w:rsid w:val="00013101"/>
  </w:style>
  <w:style w:type="character" w:customStyle="1" w:styleId="PiedepginaCar">
    <w:name w:val="Pie de página Car"/>
    <w:link w:val="Piedepgina"/>
    <w:uiPriority w:val="99"/>
    <w:rsid w:val="00AC6D2A"/>
    <w:rPr>
      <w:rFonts w:ascii="Arial" w:hAnsi="Arial"/>
      <w:sz w:val="22"/>
      <w:lang w:val="es-PY"/>
    </w:rPr>
  </w:style>
  <w:style w:type="paragraph" w:styleId="Descripcin">
    <w:name w:val="caption"/>
    <w:basedOn w:val="Normal"/>
    <w:next w:val="Normal"/>
    <w:semiHidden/>
    <w:unhideWhenUsed/>
    <w:qFormat/>
    <w:rsid w:val="00413BC1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CC2BF8"/>
    <w:pPr>
      <w:suppressAutoHyphens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MENSUALES\2020\Febrero\InfoEstadisticoExport_enero31_febrero28_2020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MENSUALES\2020\Febrero\InfoEstadisticoExport_enero31_febrero28_2020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aredes\Documents\MAQUILA\ASISTENCIA%20TECNICA\ESTADISTICAS\Exportaciones%20anua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por rubros - Mes</a:t>
            </a:r>
            <a:r>
              <a:rPr lang="es-PY" b="1" baseline="0"/>
              <a:t> de Febrero</a:t>
            </a:r>
          </a:p>
          <a:p>
            <a:pPr>
              <a:defRPr b="1"/>
            </a:pPr>
            <a:r>
              <a:rPr lang="es-PY" b="1" baseline="0"/>
              <a:t>(En %)</a:t>
            </a:r>
            <a:endParaRPr lang="es-PY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'[InfoEstadisticoExport_enero31_febrero28_2020 (1).xlsx]Febrero por rubros'!$H$2:$H$17</c:f>
              <c:strCache>
                <c:ptCount val="16"/>
                <c:pt idx="0">
                  <c:v>Caucho y sus manufacturas</c:v>
                </c:pt>
                <c:pt idx="1">
                  <c:v>Fabricación de cosméticos</c:v>
                </c:pt>
                <c:pt idx="2">
                  <c:v>Madera y sus manufacturas</c:v>
                </c:pt>
                <c:pt idx="3">
                  <c:v>Metalúrgico y sus partes</c:v>
                </c:pt>
                <c:pt idx="4">
                  <c:v>Fabricación de juguetes</c:v>
                </c:pt>
                <c:pt idx="5">
                  <c:v>Servicios intangibles</c:v>
                </c:pt>
                <c:pt idx="6">
                  <c:v>Productos alimenticios</c:v>
                </c:pt>
                <c:pt idx="7">
                  <c:v>Pigmento, pintura y colorantes</c:v>
                </c:pt>
                <c:pt idx="8">
                  <c:v>Calzados y sus partes</c:v>
                </c:pt>
                <c:pt idx="9">
                  <c:v>Cueros y sus manufacturas</c:v>
                </c:pt>
                <c:pt idx="10">
                  <c:v>Manufacturas diversas</c:v>
                </c:pt>
                <c:pt idx="11">
                  <c:v>Alimentos para mascotas</c:v>
                </c:pt>
                <c:pt idx="12">
                  <c:v>Productos farmacéuticos</c:v>
                </c:pt>
                <c:pt idx="13">
                  <c:v>Plásticos y sus manufacturas</c:v>
                </c:pt>
                <c:pt idx="14">
                  <c:v>Confecciones y Textiles</c:v>
                </c:pt>
                <c:pt idx="15">
                  <c:v>Autopartes</c:v>
                </c:pt>
              </c:strCache>
            </c:strRef>
          </c:cat>
          <c:val>
            <c:numRef>
              <c:f>'[InfoEstadisticoExport_enero31_febrero28_2020 (1).xlsx]Febrero por rubros'!$J$2:$J$17</c:f>
              <c:numCache>
                <c:formatCode>0.0%</c:formatCode>
                <c:ptCount val="16"/>
                <c:pt idx="0">
                  <c:v>3.0753281104600098E-4</c:v>
                </c:pt>
                <c:pt idx="1">
                  <c:v>8.4746010258872448E-4</c:v>
                </c:pt>
                <c:pt idx="2">
                  <c:v>2.3207065850413201E-3</c:v>
                </c:pt>
                <c:pt idx="3">
                  <c:v>3.6691054068033629E-3</c:v>
                </c:pt>
                <c:pt idx="4">
                  <c:v>4.3899865849337059E-3</c:v>
                </c:pt>
                <c:pt idx="5">
                  <c:v>6.4438048641109174E-3</c:v>
                </c:pt>
                <c:pt idx="6">
                  <c:v>9.0751050226387433E-3</c:v>
                </c:pt>
                <c:pt idx="7">
                  <c:v>1.0681820431290586E-2</c:v>
                </c:pt>
                <c:pt idx="8">
                  <c:v>2.2207366268746368E-2</c:v>
                </c:pt>
                <c:pt idx="9">
                  <c:v>2.360239040167264E-2</c:v>
                </c:pt>
                <c:pt idx="10">
                  <c:v>3.9181518708147726E-2</c:v>
                </c:pt>
                <c:pt idx="11">
                  <c:v>4.5221450221510202E-2</c:v>
                </c:pt>
                <c:pt idx="12">
                  <c:v>5.1138803608803109E-2</c:v>
                </c:pt>
                <c:pt idx="13">
                  <c:v>9.7549359263231411E-2</c:v>
                </c:pt>
                <c:pt idx="14">
                  <c:v>0.23927200173521657</c:v>
                </c:pt>
                <c:pt idx="15">
                  <c:v>0.44409158798421861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4-492C-9823-2F78F294C7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0823967"/>
        <c:axId val="1950274959"/>
      </c:barChart>
      <c:catAx>
        <c:axId val="280823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950274959"/>
        <c:crosses val="autoZero"/>
        <c:auto val="1"/>
        <c:lblAlgn val="ctr"/>
        <c:lblOffset val="100"/>
        <c:noMultiLvlLbl val="0"/>
      </c:catAx>
      <c:valAx>
        <c:axId val="19502749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280823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b="1"/>
              <a:t>Exportaciones acumuladas </a:t>
            </a:r>
          </a:p>
          <a:p>
            <a:pPr>
              <a:defRPr b="1"/>
            </a:pPr>
            <a:r>
              <a:rPr lang="es-PY" b="1"/>
              <a:t>(En</a:t>
            </a:r>
            <a:r>
              <a:rPr lang="es-PY" b="1" baseline="0"/>
              <a:t> %)</a:t>
            </a:r>
            <a:endParaRPr lang="es-PY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'[InfoEstadisticoExport_enero31_febrero28_2020 (1).xlsx]Hoja6'!$H$2:$H$17</c:f>
              <c:strCache>
                <c:ptCount val="16"/>
                <c:pt idx="0">
                  <c:v>Fabricación de juguetes</c:v>
                </c:pt>
                <c:pt idx="1">
                  <c:v>Fabricación de cosméticos</c:v>
                </c:pt>
                <c:pt idx="2">
                  <c:v>Madera y sus manufacturas</c:v>
                </c:pt>
                <c:pt idx="3">
                  <c:v>Emblajaes de aluminio</c:v>
                </c:pt>
                <c:pt idx="4">
                  <c:v>Metalúrgico y sus partes</c:v>
                </c:pt>
                <c:pt idx="5">
                  <c:v>Productos alimenticios</c:v>
                </c:pt>
                <c:pt idx="6">
                  <c:v>Servicios intangibles</c:v>
                </c:pt>
                <c:pt idx="7">
                  <c:v>Pigmento, pintura y colorantes</c:v>
                </c:pt>
                <c:pt idx="8">
                  <c:v>Cueros y sus manufacturas</c:v>
                </c:pt>
                <c:pt idx="9">
                  <c:v>Calzados y sus partes</c:v>
                </c:pt>
                <c:pt idx="10">
                  <c:v>Manufacturas diversas</c:v>
                </c:pt>
                <c:pt idx="11">
                  <c:v>Alimentos para mascotas</c:v>
                </c:pt>
                <c:pt idx="12">
                  <c:v>Productos farmacéuticos</c:v>
                </c:pt>
                <c:pt idx="13">
                  <c:v>Plásticos y sus manufacturas</c:v>
                </c:pt>
                <c:pt idx="14">
                  <c:v>Confecciones y Textiles</c:v>
                </c:pt>
                <c:pt idx="15">
                  <c:v>Autopartes</c:v>
                </c:pt>
              </c:strCache>
            </c:strRef>
          </c:cat>
          <c:val>
            <c:numRef>
              <c:f>'[InfoEstadisticoExport_enero31_febrero28_2020 (1).xlsx]Hoja6'!$J$2:$J$17</c:f>
              <c:numCache>
                <c:formatCode>0.0%</c:formatCode>
                <c:ptCount val="16"/>
                <c:pt idx="0">
                  <c:v>8.557683382216225E-4</c:v>
                </c:pt>
                <c:pt idx="1">
                  <c:v>8.6674742513133147E-4</c:v>
                </c:pt>
                <c:pt idx="2">
                  <c:v>1.3674308247454154E-3</c:v>
                </c:pt>
                <c:pt idx="3">
                  <c:v>2.246391887831759E-3</c:v>
                </c:pt>
                <c:pt idx="4">
                  <c:v>2.9954579265991065E-3</c:v>
                </c:pt>
                <c:pt idx="5">
                  <c:v>5.9729473485310236E-3</c:v>
                </c:pt>
                <c:pt idx="6">
                  <c:v>6.9990556730262039E-3</c:v>
                </c:pt>
                <c:pt idx="7">
                  <c:v>1.8045883573518724E-2</c:v>
                </c:pt>
                <c:pt idx="8">
                  <c:v>2.4883368167621486E-2</c:v>
                </c:pt>
                <c:pt idx="9">
                  <c:v>2.605374377741513E-2</c:v>
                </c:pt>
                <c:pt idx="10">
                  <c:v>3.092184799331902E-2</c:v>
                </c:pt>
                <c:pt idx="11">
                  <c:v>3.31085950200063E-2</c:v>
                </c:pt>
                <c:pt idx="12">
                  <c:v>4.5645734801074735E-2</c:v>
                </c:pt>
                <c:pt idx="13">
                  <c:v>0.11057309859921725</c:v>
                </c:pt>
                <c:pt idx="14">
                  <c:v>0.24410109802159843</c:v>
                </c:pt>
                <c:pt idx="15">
                  <c:v>0.44536283062214249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4F-4484-AF30-84C0866B8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7081103"/>
        <c:axId val="279206879"/>
      </c:barChart>
      <c:catAx>
        <c:axId val="327081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279206879"/>
        <c:crosses val="autoZero"/>
        <c:auto val="1"/>
        <c:lblAlgn val="ctr"/>
        <c:lblOffset val="100"/>
        <c:noMultiLvlLbl val="0"/>
      </c:catAx>
      <c:valAx>
        <c:axId val="2792068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27081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EXPORTACIONES ANUALES - (EN 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'[Exportaciones anuales.xlsx]Exportaciones'!$C$18</c:f>
              <c:strCache>
                <c:ptCount val="1"/>
                <c:pt idx="0">
                  <c:v>MONTO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428-4510-878C-674FA387883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428-4510-878C-674FA387883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428-4510-878C-674FA387883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428-4510-878C-674FA387883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28-4510-878C-674FA387883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28-4510-878C-674FA387883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28-4510-878C-674FA387883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28-4510-878C-674FA387883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28-4510-878C-674FA387883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28-4510-878C-674FA387883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28-4510-878C-674FA387883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28-4510-878C-674FA387883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428-4510-878C-674FA387883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428-4510-878C-674FA387883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28-4510-878C-674FA387883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28-4510-878C-674FA3878830}"/>
                </c:ext>
              </c:extLst>
            </c:dLbl>
            <c:dLbl>
              <c:idx val="12"/>
              <c:layout>
                <c:manualLayout>
                  <c:x val="-1.3266845081898716E-16"/>
                  <c:y val="-1.07816681079955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28-4510-878C-674FA38788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'[Exportaciones anuales.xlsx]Exportaciones'!$B$19:$B$38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'[Exportaciones anuales.xlsx]Exportaciones'!$C$19:$C$38</c:f>
              <c:numCache>
                <c:formatCode>#,##0</c:formatCode>
                <c:ptCount val="20"/>
                <c:pt idx="0">
                  <c:v>1184351.48</c:v>
                </c:pt>
                <c:pt idx="1">
                  <c:v>2001062.15</c:v>
                </c:pt>
                <c:pt idx="2">
                  <c:v>7930838.4700000007</c:v>
                </c:pt>
                <c:pt idx="3">
                  <c:v>8407640.959999999</c:v>
                </c:pt>
                <c:pt idx="4">
                  <c:v>27546308.999999996</c:v>
                </c:pt>
                <c:pt idx="5">
                  <c:v>54688663</c:v>
                </c:pt>
                <c:pt idx="6">
                  <c:v>74763559</c:v>
                </c:pt>
                <c:pt idx="7">
                  <c:v>79496976</c:v>
                </c:pt>
                <c:pt idx="8">
                  <c:v>62587352</c:v>
                </c:pt>
                <c:pt idx="9">
                  <c:v>102089020</c:v>
                </c:pt>
                <c:pt idx="10">
                  <c:v>142011964.38999999</c:v>
                </c:pt>
                <c:pt idx="11">
                  <c:v>150302905.88000003</c:v>
                </c:pt>
                <c:pt idx="12">
                  <c:v>159441559.59999999</c:v>
                </c:pt>
                <c:pt idx="13">
                  <c:v>250510197.67262504</c:v>
                </c:pt>
                <c:pt idx="14">
                  <c:v>284875078.47000003</c:v>
                </c:pt>
                <c:pt idx="15">
                  <c:v>313922800.66600001</c:v>
                </c:pt>
                <c:pt idx="16">
                  <c:v>442969551.54467964</c:v>
                </c:pt>
                <c:pt idx="17">
                  <c:v>675067079.8018887</c:v>
                </c:pt>
                <c:pt idx="18">
                  <c:v>722652168.24900007</c:v>
                </c:pt>
                <c:pt idx="19">
                  <c:v>114818117.81779817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428-4510-878C-674FA38788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5212208"/>
        <c:axId val="305213384"/>
      </c:barChart>
      <c:catAx>
        <c:axId val="30521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3384"/>
        <c:crosses val="autoZero"/>
        <c:auto val="1"/>
        <c:lblAlgn val="ctr"/>
        <c:lblOffset val="100"/>
        <c:noMultiLvlLbl val="0"/>
      </c:catAx>
      <c:valAx>
        <c:axId val="30521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de Ley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de Ley</dc:title>
  <dc:creator>Sandra GM</dc:creator>
  <cp:lastModifiedBy>Ernesto Paredes</cp:lastModifiedBy>
  <cp:revision>3</cp:revision>
  <cp:lastPrinted>2015-04-01T13:05:00Z</cp:lastPrinted>
  <dcterms:created xsi:type="dcterms:W3CDTF">2020-03-02T11:47:00Z</dcterms:created>
  <dcterms:modified xsi:type="dcterms:W3CDTF">2020-03-02T12:21:00Z</dcterms:modified>
</cp:coreProperties>
</file>